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C5F" w:rsidRDefault="00D95C5F" w:rsidP="00D95C5F">
      <w:pPr>
        <w:jc w:val="center"/>
        <w:rPr>
          <w:rFonts w:ascii="Times New Roman" w:hAnsi="Times New Roman" w:cs="Times New Roman"/>
          <w:sz w:val="24"/>
          <w:szCs w:val="24"/>
          <w:lang w:val="bg-BG"/>
        </w:rPr>
      </w:pPr>
      <w:bookmarkStart w:id="0" w:name="_GoBack"/>
      <w:bookmarkEnd w:id="0"/>
      <w:r w:rsidRPr="00D95C5F">
        <w:rPr>
          <w:rFonts w:ascii="Times New Roman" w:hAnsi="Times New Roman" w:cs="Times New Roman"/>
          <w:sz w:val="24"/>
          <w:szCs w:val="24"/>
          <w:lang w:val="bg-BG"/>
        </w:rPr>
        <w:t xml:space="preserve">ИЗИСКВАНИЯ ПРИ ПОПЪЛВАНЕ НА </w:t>
      </w:r>
      <w:r>
        <w:rPr>
          <w:rFonts w:ascii="Times New Roman" w:hAnsi="Times New Roman" w:cs="Times New Roman"/>
          <w:sz w:val="24"/>
          <w:szCs w:val="24"/>
          <w:lang w:val="bg-BG"/>
        </w:rPr>
        <w:t>БЮДЖЕТА</w:t>
      </w:r>
    </w:p>
    <w:p w:rsidR="00D95C5F" w:rsidRPr="004F3CEC" w:rsidRDefault="00D95C5F" w:rsidP="004F3CEC">
      <w:pPr>
        <w:pStyle w:val="ListParagraph"/>
        <w:numPr>
          <w:ilvl w:val="0"/>
          <w:numId w:val="1"/>
        </w:numPr>
        <w:ind w:left="0" w:right="-421" w:hanging="284"/>
        <w:jc w:val="both"/>
        <w:rPr>
          <w:rFonts w:ascii="Times New Roman" w:hAnsi="Times New Roman" w:cs="Times New Roman"/>
          <w:sz w:val="24"/>
          <w:szCs w:val="24"/>
        </w:rPr>
      </w:pPr>
      <w:r w:rsidRPr="004F3CEC">
        <w:rPr>
          <w:rFonts w:ascii="Times New Roman" w:hAnsi="Times New Roman" w:cs="Times New Roman"/>
          <w:sz w:val="24"/>
          <w:szCs w:val="24"/>
        </w:rPr>
        <w:t xml:space="preserve">Бюджетът на проекта трябва да отразява в обобщен вид разходите по компоненти, работни места и видове дейности. </w:t>
      </w:r>
      <w:r w:rsidRPr="004F3CEC">
        <w:rPr>
          <w:rFonts w:ascii="Times New Roman" w:hAnsi="Times New Roman" w:cs="Times New Roman"/>
          <w:sz w:val="24"/>
          <w:szCs w:val="24"/>
        </w:rPr>
        <w:tab/>
      </w:r>
      <w:r w:rsidRPr="004F3CEC">
        <w:rPr>
          <w:rFonts w:ascii="Times New Roman" w:hAnsi="Times New Roman" w:cs="Times New Roman"/>
          <w:sz w:val="24"/>
          <w:szCs w:val="24"/>
        </w:rPr>
        <w:tab/>
      </w:r>
      <w:r w:rsidRPr="004F3CEC">
        <w:rPr>
          <w:rFonts w:ascii="Times New Roman" w:hAnsi="Times New Roman" w:cs="Times New Roman"/>
          <w:sz w:val="24"/>
          <w:szCs w:val="24"/>
        </w:rPr>
        <w:tab/>
      </w:r>
      <w:r w:rsidRPr="004F3CEC">
        <w:rPr>
          <w:rFonts w:ascii="Times New Roman" w:hAnsi="Times New Roman" w:cs="Times New Roman"/>
          <w:sz w:val="24"/>
          <w:szCs w:val="24"/>
        </w:rPr>
        <w:tab/>
      </w:r>
      <w:r w:rsidRPr="004F3CEC">
        <w:rPr>
          <w:rFonts w:ascii="Times New Roman" w:hAnsi="Times New Roman" w:cs="Times New Roman"/>
          <w:sz w:val="24"/>
          <w:szCs w:val="24"/>
        </w:rPr>
        <w:tab/>
      </w:r>
      <w:r w:rsidRPr="004F3CEC">
        <w:rPr>
          <w:rFonts w:ascii="Times New Roman" w:hAnsi="Times New Roman" w:cs="Times New Roman"/>
          <w:sz w:val="24"/>
          <w:szCs w:val="24"/>
        </w:rPr>
        <w:tab/>
      </w:r>
      <w:r w:rsidRPr="004F3CEC">
        <w:rPr>
          <w:rFonts w:ascii="Times New Roman" w:hAnsi="Times New Roman" w:cs="Times New Roman"/>
          <w:sz w:val="24"/>
          <w:szCs w:val="24"/>
        </w:rPr>
        <w:tab/>
      </w:r>
    </w:p>
    <w:p w:rsidR="00D95C5F" w:rsidRPr="004F3CEC" w:rsidRDefault="00D95C5F" w:rsidP="004F3CEC">
      <w:pPr>
        <w:pStyle w:val="ListParagraph"/>
        <w:numPr>
          <w:ilvl w:val="0"/>
          <w:numId w:val="1"/>
        </w:numPr>
        <w:ind w:left="0" w:right="-421" w:hanging="284"/>
        <w:jc w:val="both"/>
        <w:rPr>
          <w:rFonts w:ascii="Times New Roman" w:hAnsi="Times New Roman" w:cs="Times New Roman"/>
          <w:sz w:val="24"/>
          <w:szCs w:val="24"/>
        </w:rPr>
      </w:pPr>
      <w:r w:rsidRPr="004F3CEC">
        <w:rPr>
          <w:rFonts w:ascii="Times New Roman" w:hAnsi="Times New Roman" w:cs="Times New Roman"/>
          <w:sz w:val="24"/>
          <w:szCs w:val="24"/>
        </w:rPr>
        <w:t xml:space="preserve">Общата стойност на исканото финансиране, определено в бюджета на конкурсното предложение при спазване на лимитите по компоненти, представлява максимално възможната стойност, която може да получи кандидатът, освен ако не бъде редуцирана поради допуснати грешки и необективно и неправилно направени разчети. </w:t>
      </w:r>
      <w:r w:rsidRPr="004F3CEC">
        <w:rPr>
          <w:rFonts w:ascii="Times New Roman" w:hAnsi="Times New Roman" w:cs="Times New Roman"/>
          <w:sz w:val="24"/>
          <w:szCs w:val="24"/>
        </w:rPr>
        <w:tab/>
      </w:r>
      <w:r w:rsidRPr="004F3CEC">
        <w:rPr>
          <w:rFonts w:ascii="Times New Roman" w:hAnsi="Times New Roman" w:cs="Times New Roman"/>
          <w:sz w:val="24"/>
          <w:szCs w:val="24"/>
        </w:rPr>
        <w:tab/>
      </w:r>
      <w:r w:rsidRPr="004F3CEC">
        <w:rPr>
          <w:rFonts w:ascii="Times New Roman" w:hAnsi="Times New Roman" w:cs="Times New Roman"/>
          <w:sz w:val="24"/>
          <w:szCs w:val="24"/>
        </w:rPr>
        <w:tab/>
      </w:r>
    </w:p>
    <w:p w:rsidR="004F3CEC" w:rsidRPr="004F3CEC" w:rsidRDefault="00D95C5F" w:rsidP="004F3CEC">
      <w:pPr>
        <w:pStyle w:val="ListParagraph"/>
        <w:numPr>
          <w:ilvl w:val="0"/>
          <w:numId w:val="1"/>
        </w:numPr>
        <w:ind w:left="0" w:right="-421" w:hanging="284"/>
        <w:jc w:val="both"/>
        <w:rPr>
          <w:rFonts w:ascii="Times New Roman" w:hAnsi="Times New Roman" w:cs="Times New Roman"/>
          <w:sz w:val="24"/>
          <w:szCs w:val="24"/>
        </w:rPr>
      </w:pPr>
      <w:r w:rsidRPr="004F3CEC">
        <w:rPr>
          <w:rFonts w:ascii="Times New Roman" w:hAnsi="Times New Roman" w:cs="Times New Roman"/>
          <w:sz w:val="24"/>
          <w:szCs w:val="24"/>
        </w:rPr>
        <w:t>Увеличаване на исканата субсидия след подаване на конкурсното предложение не може да се прави на никакво основание.</w:t>
      </w:r>
      <w:r w:rsidRPr="004F3CEC">
        <w:rPr>
          <w:rFonts w:ascii="Times New Roman" w:hAnsi="Times New Roman" w:cs="Times New Roman"/>
          <w:sz w:val="24"/>
          <w:szCs w:val="24"/>
        </w:rPr>
        <w:tab/>
      </w:r>
    </w:p>
    <w:p w:rsidR="004F3CEC" w:rsidRPr="004F3CEC" w:rsidRDefault="00D95C5F" w:rsidP="004F3CEC">
      <w:pPr>
        <w:pStyle w:val="ListParagraph"/>
        <w:numPr>
          <w:ilvl w:val="0"/>
          <w:numId w:val="1"/>
        </w:numPr>
        <w:ind w:left="0" w:right="-421" w:hanging="284"/>
        <w:jc w:val="both"/>
        <w:rPr>
          <w:rFonts w:ascii="Times New Roman" w:hAnsi="Times New Roman" w:cs="Times New Roman"/>
          <w:sz w:val="24"/>
          <w:szCs w:val="24"/>
        </w:rPr>
      </w:pPr>
      <w:r w:rsidRPr="004F3CEC">
        <w:rPr>
          <w:rFonts w:ascii="Times New Roman" w:hAnsi="Times New Roman" w:cs="Times New Roman"/>
          <w:sz w:val="24"/>
          <w:szCs w:val="24"/>
        </w:rPr>
        <w:t>Разходите се отразяват по отделни дейности, дейностите по отделни работни места, работните места по отделни компоненти.</w:t>
      </w:r>
      <w:r w:rsidRPr="004F3CEC">
        <w:rPr>
          <w:rFonts w:ascii="Times New Roman" w:hAnsi="Times New Roman" w:cs="Times New Roman"/>
          <w:sz w:val="24"/>
          <w:szCs w:val="24"/>
        </w:rPr>
        <w:tab/>
      </w:r>
    </w:p>
    <w:p w:rsidR="004F3CEC" w:rsidRPr="004F3CEC" w:rsidRDefault="00D95C5F" w:rsidP="004F3CEC">
      <w:pPr>
        <w:pStyle w:val="ListParagraph"/>
        <w:numPr>
          <w:ilvl w:val="0"/>
          <w:numId w:val="1"/>
        </w:numPr>
        <w:ind w:left="0" w:right="-421" w:hanging="284"/>
        <w:jc w:val="both"/>
        <w:rPr>
          <w:rFonts w:ascii="Times New Roman" w:hAnsi="Times New Roman" w:cs="Times New Roman"/>
          <w:sz w:val="24"/>
          <w:szCs w:val="24"/>
        </w:rPr>
      </w:pPr>
      <w:r w:rsidRPr="004F3CEC">
        <w:rPr>
          <w:rFonts w:ascii="Times New Roman" w:hAnsi="Times New Roman" w:cs="Times New Roman"/>
          <w:sz w:val="24"/>
          <w:szCs w:val="24"/>
        </w:rPr>
        <w:t xml:space="preserve">Дейностите не е задължително да се представят последователно по начина на номерирането им, а в съответствие с последователността  посочена в т. </w:t>
      </w:r>
      <w:r w:rsidR="0088688D">
        <w:rPr>
          <w:rFonts w:ascii="Times New Roman" w:hAnsi="Times New Roman" w:cs="Times New Roman"/>
          <w:sz w:val="24"/>
          <w:szCs w:val="24"/>
        </w:rPr>
        <w:t xml:space="preserve">1. Така например, по компонент </w:t>
      </w:r>
      <w:r w:rsidR="0088688D">
        <w:rPr>
          <w:rFonts w:ascii="Times New Roman" w:hAnsi="Times New Roman" w:cs="Times New Roman"/>
          <w:sz w:val="24"/>
          <w:szCs w:val="24"/>
          <w:lang w:val="bg-BG"/>
        </w:rPr>
        <w:t>1</w:t>
      </w:r>
      <w:r w:rsidRPr="004F3CEC">
        <w:rPr>
          <w:rFonts w:ascii="Times New Roman" w:hAnsi="Times New Roman" w:cs="Times New Roman"/>
          <w:sz w:val="24"/>
          <w:szCs w:val="24"/>
        </w:rPr>
        <w:t xml:space="preserve"> могат да се изпълняват дейности с номера 9,</w:t>
      </w:r>
      <w:r w:rsidR="0088688D">
        <w:rPr>
          <w:rFonts w:ascii="Times New Roman" w:hAnsi="Times New Roman" w:cs="Times New Roman"/>
          <w:sz w:val="24"/>
          <w:szCs w:val="24"/>
        </w:rPr>
        <w:t xml:space="preserve"> 10, 11, а по компонент </w:t>
      </w:r>
      <w:r w:rsidR="0088688D">
        <w:rPr>
          <w:rFonts w:ascii="Times New Roman" w:hAnsi="Times New Roman" w:cs="Times New Roman"/>
          <w:sz w:val="24"/>
          <w:szCs w:val="24"/>
          <w:lang w:val="bg-BG"/>
        </w:rPr>
        <w:t>3</w:t>
      </w:r>
      <w:r w:rsidRPr="004F3CEC">
        <w:rPr>
          <w:rFonts w:ascii="Times New Roman" w:hAnsi="Times New Roman" w:cs="Times New Roman"/>
          <w:sz w:val="24"/>
          <w:szCs w:val="24"/>
        </w:rPr>
        <w:t xml:space="preserve"> - с номера 1, 2, 3.</w:t>
      </w:r>
      <w:r w:rsidRPr="004F3CEC">
        <w:rPr>
          <w:rFonts w:ascii="Times New Roman" w:hAnsi="Times New Roman" w:cs="Times New Roman"/>
          <w:sz w:val="24"/>
          <w:szCs w:val="24"/>
        </w:rPr>
        <w:tab/>
      </w:r>
    </w:p>
    <w:p w:rsidR="004F3CEC" w:rsidRPr="004F3CEC" w:rsidRDefault="00D95C5F" w:rsidP="004F3CEC">
      <w:pPr>
        <w:pStyle w:val="ListParagraph"/>
        <w:numPr>
          <w:ilvl w:val="0"/>
          <w:numId w:val="1"/>
        </w:numPr>
        <w:ind w:left="0" w:right="-421" w:hanging="284"/>
        <w:jc w:val="both"/>
        <w:rPr>
          <w:rFonts w:ascii="Times New Roman" w:hAnsi="Times New Roman" w:cs="Times New Roman"/>
          <w:sz w:val="24"/>
          <w:szCs w:val="24"/>
        </w:rPr>
      </w:pPr>
      <w:r w:rsidRPr="004F3CEC">
        <w:rPr>
          <w:rFonts w:ascii="Times New Roman" w:hAnsi="Times New Roman" w:cs="Times New Roman"/>
          <w:sz w:val="24"/>
          <w:szCs w:val="24"/>
        </w:rPr>
        <w:t>Общата стой</w:t>
      </w:r>
      <w:r w:rsidR="009A449B">
        <w:rPr>
          <w:rFonts w:ascii="Times New Roman" w:hAnsi="Times New Roman" w:cs="Times New Roman"/>
          <w:sz w:val="24"/>
          <w:szCs w:val="24"/>
        </w:rPr>
        <w:t xml:space="preserve">ност на разходите по компонент </w:t>
      </w:r>
      <w:r w:rsidR="009A449B">
        <w:rPr>
          <w:rFonts w:ascii="Times New Roman" w:hAnsi="Times New Roman" w:cs="Times New Roman"/>
          <w:sz w:val="24"/>
          <w:szCs w:val="24"/>
          <w:lang w:val="bg-BG"/>
        </w:rPr>
        <w:t>1</w:t>
      </w:r>
      <w:r w:rsidRPr="004F3CEC">
        <w:rPr>
          <w:rFonts w:ascii="Times New Roman" w:hAnsi="Times New Roman" w:cs="Times New Roman"/>
          <w:sz w:val="24"/>
          <w:szCs w:val="24"/>
        </w:rPr>
        <w:t>. Осигураване на достъп, които се покриват от отпуснатата сума, не може да превишава</w:t>
      </w:r>
      <w:r w:rsidRPr="004F3CEC">
        <w:rPr>
          <w:rFonts w:ascii="Times New Roman" w:hAnsi="Times New Roman" w:cs="Times New Roman"/>
          <w:sz w:val="24"/>
          <w:szCs w:val="24"/>
          <w:lang w:val="bg-BG"/>
        </w:rPr>
        <w:t xml:space="preserve"> </w:t>
      </w:r>
      <w:r w:rsidRPr="004F3CEC">
        <w:rPr>
          <w:rFonts w:ascii="Times New Roman" w:hAnsi="Times New Roman" w:cs="Times New Roman"/>
          <w:sz w:val="24"/>
          <w:szCs w:val="24"/>
        </w:rPr>
        <w:t>10 000 лв. Спазване на този лимит се проверява чрез стойността на получената разлика меж</w:t>
      </w:r>
      <w:r w:rsidR="0088688D">
        <w:rPr>
          <w:rFonts w:ascii="Times New Roman" w:hAnsi="Times New Roman" w:cs="Times New Roman"/>
          <w:sz w:val="24"/>
          <w:szCs w:val="24"/>
        </w:rPr>
        <w:t xml:space="preserve">ду "общо разходи по комопонент </w:t>
      </w:r>
      <w:r w:rsidR="0088688D">
        <w:rPr>
          <w:rFonts w:ascii="Times New Roman" w:hAnsi="Times New Roman" w:cs="Times New Roman"/>
          <w:sz w:val="24"/>
          <w:szCs w:val="24"/>
          <w:lang w:val="bg-BG"/>
        </w:rPr>
        <w:t>1</w:t>
      </w:r>
      <w:r w:rsidRPr="004F3CEC">
        <w:rPr>
          <w:rFonts w:ascii="Times New Roman" w:hAnsi="Times New Roman" w:cs="Times New Roman"/>
          <w:sz w:val="24"/>
          <w:szCs w:val="24"/>
        </w:rPr>
        <w:t>" и контролното число,</w:t>
      </w:r>
      <w:r w:rsidRPr="004F3CEC">
        <w:rPr>
          <w:rFonts w:ascii="Times New Roman" w:hAnsi="Times New Roman" w:cs="Times New Roman"/>
          <w:sz w:val="24"/>
          <w:szCs w:val="24"/>
          <w:lang w:val="bg-BG"/>
        </w:rPr>
        <w:t xml:space="preserve"> </w:t>
      </w:r>
      <w:r w:rsidRPr="004F3CEC">
        <w:rPr>
          <w:rFonts w:ascii="Times New Roman" w:hAnsi="Times New Roman" w:cs="Times New Roman"/>
          <w:sz w:val="24"/>
          <w:szCs w:val="24"/>
        </w:rPr>
        <w:t>която трябва да бъде 0 или отрицателно число.</w:t>
      </w:r>
      <w:r w:rsidRPr="004F3CEC">
        <w:rPr>
          <w:rFonts w:ascii="Times New Roman" w:hAnsi="Times New Roman" w:cs="Times New Roman"/>
          <w:sz w:val="24"/>
          <w:szCs w:val="24"/>
        </w:rPr>
        <w:tab/>
      </w:r>
    </w:p>
    <w:p w:rsidR="00EC7E17" w:rsidRPr="004F3CEC" w:rsidRDefault="00D95C5F" w:rsidP="004F3CEC">
      <w:pPr>
        <w:pStyle w:val="ListParagraph"/>
        <w:numPr>
          <w:ilvl w:val="0"/>
          <w:numId w:val="1"/>
        </w:numPr>
        <w:ind w:left="0" w:right="-421" w:hanging="284"/>
        <w:jc w:val="both"/>
        <w:rPr>
          <w:rFonts w:ascii="Times New Roman" w:hAnsi="Times New Roman" w:cs="Times New Roman"/>
          <w:sz w:val="24"/>
          <w:szCs w:val="24"/>
        </w:rPr>
      </w:pPr>
      <w:r w:rsidRPr="004F3CEC">
        <w:rPr>
          <w:rFonts w:ascii="Times New Roman" w:hAnsi="Times New Roman" w:cs="Times New Roman"/>
          <w:sz w:val="24"/>
          <w:szCs w:val="24"/>
        </w:rPr>
        <w:t>Когато една дейност има отношение към различни работни места, разходите, свързани с нея, се разпределят по съ</w:t>
      </w:r>
      <w:r w:rsidR="00EC7E17" w:rsidRPr="004F3CEC">
        <w:rPr>
          <w:rFonts w:ascii="Times New Roman" w:hAnsi="Times New Roman" w:cs="Times New Roman"/>
          <w:sz w:val="24"/>
          <w:szCs w:val="24"/>
        </w:rPr>
        <w:t>ответните работни места</w:t>
      </w:r>
      <w:r w:rsidR="00EC7E17" w:rsidRPr="004F3CEC">
        <w:rPr>
          <w:rFonts w:ascii="Times New Roman" w:hAnsi="Times New Roman" w:cs="Times New Roman"/>
          <w:sz w:val="24"/>
          <w:szCs w:val="24"/>
          <w:lang w:val="bg-BG"/>
        </w:rPr>
        <w:t>.</w:t>
      </w:r>
    </w:p>
    <w:p w:rsidR="004F3CEC" w:rsidRPr="004F3CEC" w:rsidRDefault="00D95C5F" w:rsidP="004F3CEC">
      <w:pPr>
        <w:pStyle w:val="ListParagraph"/>
        <w:numPr>
          <w:ilvl w:val="0"/>
          <w:numId w:val="1"/>
        </w:numPr>
        <w:ind w:left="0" w:right="-421" w:hanging="284"/>
        <w:jc w:val="both"/>
        <w:rPr>
          <w:rFonts w:ascii="Times New Roman" w:hAnsi="Times New Roman" w:cs="Times New Roman"/>
          <w:sz w:val="24"/>
          <w:szCs w:val="24"/>
        </w:rPr>
      </w:pPr>
      <w:r w:rsidRPr="004F3CEC">
        <w:rPr>
          <w:rFonts w:ascii="Times New Roman" w:hAnsi="Times New Roman" w:cs="Times New Roman"/>
          <w:sz w:val="24"/>
          <w:szCs w:val="24"/>
        </w:rPr>
        <w:t>Стойността на разходите за вся</w:t>
      </w:r>
      <w:r w:rsidR="0088688D">
        <w:rPr>
          <w:rFonts w:ascii="Times New Roman" w:hAnsi="Times New Roman" w:cs="Times New Roman"/>
          <w:sz w:val="24"/>
          <w:szCs w:val="24"/>
        </w:rPr>
        <w:t xml:space="preserve">ко работно място по компонент </w:t>
      </w:r>
      <w:r w:rsidR="0088688D">
        <w:rPr>
          <w:rFonts w:ascii="Times New Roman" w:hAnsi="Times New Roman" w:cs="Times New Roman"/>
          <w:sz w:val="24"/>
          <w:szCs w:val="24"/>
          <w:lang w:val="bg-BG"/>
        </w:rPr>
        <w:t>2</w:t>
      </w:r>
      <w:r w:rsidRPr="004F3CEC">
        <w:rPr>
          <w:rFonts w:ascii="Times New Roman" w:hAnsi="Times New Roman" w:cs="Times New Roman"/>
          <w:sz w:val="24"/>
          <w:szCs w:val="24"/>
        </w:rPr>
        <w:t>. Приспособяване на работни места, която се покрива от отпуснатата сума, не може да превишава 10000 лв. Спазване на този лимит се проверява чрез стойността на получената разлика между "общо разходи за работно място…"и контролното число, която трябва да е 0 или отрицателно число.</w:t>
      </w:r>
    </w:p>
    <w:p w:rsidR="004F3CEC" w:rsidRPr="004F3CEC" w:rsidRDefault="00D95C5F" w:rsidP="004F3CEC">
      <w:pPr>
        <w:pStyle w:val="ListParagraph"/>
        <w:numPr>
          <w:ilvl w:val="0"/>
          <w:numId w:val="1"/>
        </w:numPr>
        <w:ind w:left="0" w:right="-421" w:hanging="284"/>
        <w:jc w:val="both"/>
        <w:rPr>
          <w:rFonts w:ascii="Times New Roman" w:hAnsi="Times New Roman" w:cs="Times New Roman"/>
          <w:sz w:val="24"/>
          <w:szCs w:val="24"/>
        </w:rPr>
      </w:pPr>
      <w:r w:rsidRPr="004F3CEC">
        <w:rPr>
          <w:rFonts w:ascii="Times New Roman" w:hAnsi="Times New Roman" w:cs="Times New Roman"/>
          <w:sz w:val="24"/>
          <w:szCs w:val="24"/>
        </w:rPr>
        <w:t>Стойността на разходите за всяк</w:t>
      </w:r>
      <w:r w:rsidR="0088688D">
        <w:rPr>
          <w:rFonts w:ascii="Times New Roman" w:hAnsi="Times New Roman" w:cs="Times New Roman"/>
          <w:sz w:val="24"/>
          <w:szCs w:val="24"/>
        </w:rPr>
        <w:t xml:space="preserve">о работно място по компонент </w:t>
      </w:r>
      <w:r w:rsidR="0088688D">
        <w:rPr>
          <w:rFonts w:ascii="Times New Roman" w:hAnsi="Times New Roman" w:cs="Times New Roman"/>
          <w:sz w:val="24"/>
          <w:szCs w:val="24"/>
          <w:lang w:val="bg-BG"/>
        </w:rPr>
        <w:t>3</w:t>
      </w:r>
      <w:r w:rsidRPr="004F3CEC">
        <w:rPr>
          <w:rFonts w:ascii="Times New Roman" w:hAnsi="Times New Roman" w:cs="Times New Roman"/>
          <w:sz w:val="24"/>
          <w:szCs w:val="24"/>
        </w:rPr>
        <w:t>. Оборудване на работни места, която се покрива от отпуснатата сума,</w:t>
      </w:r>
      <w:r w:rsidRPr="004F3CEC">
        <w:rPr>
          <w:rFonts w:ascii="Times New Roman" w:hAnsi="Times New Roman" w:cs="Times New Roman"/>
          <w:sz w:val="24"/>
          <w:szCs w:val="24"/>
          <w:lang w:val="bg-BG"/>
        </w:rPr>
        <w:t xml:space="preserve"> </w:t>
      </w:r>
      <w:r w:rsidRPr="004F3CEC">
        <w:rPr>
          <w:rFonts w:ascii="Times New Roman" w:hAnsi="Times New Roman" w:cs="Times New Roman"/>
          <w:sz w:val="24"/>
          <w:szCs w:val="24"/>
        </w:rPr>
        <w:t>не може да превишава  10 000 лв. Спазването на тези лимити се проверява чрез</w:t>
      </w:r>
      <w:r w:rsidRPr="004F3CEC">
        <w:rPr>
          <w:rFonts w:ascii="Times New Roman" w:hAnsi="Times New Roman" w:cs="Times New Roman"/>
          <w:sz w:val="24"/>
          <w:szCs w:val="24"/>
          <w:lang w:val="bg-BG"/>
        </w:rPr>
        <w:t xml:space="preserve"> </w:t>
      </w:r>
      <w:r w:rsidRPr="004F3CEC">
        <w:rPr>
          <w:rFonts w:ascii="Times New Roman" w:hAnsi="Times New Roman" w:cs="Times New Roman"/>
          <w:sz w:val="24"/>
          <w:szCs w:val="24"/>
        </w:rPr>
        <w:t xml:space="preserve">стойността на получената разлика между "общо разходи за работното място …" и съответното контролно число, която трябва да е </w:t>
      </w:r>
      <w:r w:rsidR="00EC7E17" w:rsidRPr="004F3CEC">
        <w:rPr>
          <w:rFonts w:ascii="Times New Roman" w:hAnsi="Times New Roman" w:cs="Times New Roman"/>
          <w:sz w:val="24"/>
          <w:szCs w:val="24"/>
        </w:rPr>
        <w:t>0 или отрицателно число.</w:t>
      </w:r>
      <w:r w:rsidR="00EC7E17" w:rsidRPr="004F3CEC">
        <w:rPr>
          <w:rFonts w:ascii="Times New Roman" w:hAnsi="Times New Roman" w:cs="Times New Roman"/>
          <w:sz w:val="24"/>
          <w:szCs w:val="24"/>
        </w:rPr>
        <w:tab/>
      </w:r>
    </w:p>
    <w:p w:rsidR="00283D60" w:rsidRDefault="00283D60" w:rsidP="00283D60">
      <w:pPr>
        <w:pStyle w:val="ListParagraph"/>
        <w:ind w:left="0" w:right="-421" w:hanging="284"/>
        <w:jc w:val="both"/>
        <w:rPr>
          <w:rFonts w:ascii="Times New Roman" w:hAnsi="Times New Roman" w:cs="Times New Roman"/>
          <w:sz w:val="24"/>
          <w:szCs w:val="24"/>
        </w:rPr>
      </w:pPr>
      <w:r>
        <w:rPr>
          <w:rFonts w:ascii="Times New Roman" w:hAnsi="Times New Roman" w:cs="Times New Roman"/>
          <w:sz w:val="24"/>
          <w:szCs w:val="24"/>
        </w:rPr>
        <w:t>10.</w:t>
      </w:r>
      <w:r w:rsidR="00D95C5F" w:rsidRPr="004F3CEC">
        <w:rPr>
          <w:rFonts w:ascii="Times New Roman" w:hAnsi="Times New Roman" w:cs="Times New Roman"/>
          <w:sz w:val="24"/>
          <w:szCs w:val="24"/>
        </w:rPr>
        <w:t>Разходите общо за проекта се определят чре</w:t>
      </w:r>
      <w:r w:rsidR="00EC7E17" w:rsidRPr="004F3CEC">
        <w:rPr>
          <w:rFonts w:ascii="Times New Roman" w:hAnsi="Times New Roman" w:cs="Times New Roman"/>
          <w:sz w:val="24"/>
          <w:szCs w:val="24"/>
        </w:rPr>
        <w:t xml:space="preserve">з събиране на разходите по </w:t>
      </w:r>
      <w:r w:rsidR="00EC7E17" w:rsidRPr="004F3CEC">
        <w:rPr>
          <w:rFonts w:ascii="Times New Roman" w:hAnsi="Times New Roman" w:cs="Times New Roman"/>
          <w:sz w:val="24"/>
          <w:szCs w:val="24"/>
          <w:lang w:val="bg-BG"/>
        </w:rPr>
        <w:t>четирите</w:t>
      </w:r>
      <w:r w:rsidR="00D95C5F" w:rsidRPr="004F3CEC">
        <w:rPr>
          <w:rFonts w:ascii="Times New Roman" w:hAnsi="Times New Roman" w:cs="Times New Roman"/>
          <w:sz w:val="24"/>
          <w:szCs w:val="24"/>
        </w:rPr>
        <w:t xml:space="preserve"> компонента.</w:t>
      </w:r>
    </w:p>
    <w:p w:rsidR="0088688D" w:rsidRDefault="00283D60" w:rsidP="00283D60">
      <w:pPr>
        <w:pStyle w:val="ListParagraph"/>
        <w:ind w:left="0" w:right="-421" w:hanging="284"/>
        <w:jc w:val="both"/>
        <w:rPr>
          <w:rFonts w:ascii="Times New Roman" w:hAnsi="Times New Roman" w:cs="Times New Roman"/>
          <w:sz w:val="24"/>
          <w:szCs w:val="24"/>
          <w:lang w:val="bg-BG"/>
        </w:rPr>
      </w:pPr>
      <w:r>
        <w:rPr>
          <w:rFonts w:ascii="Times New Roman" w:hAnsi="Times New Roman" w:cs="Times New Roman"/>
          <w:sz w:val="24"/>
          <w:szCs w:val="24"/>
        </w:rPr>
        <w:t>11.</w:t>
      </w:r>
      <w:r w:rsidR="00D95C5F" w:rsidRPr="004F3CEC">
        <w:rPr>
          <w:rFonts w:ascii="Times New Roman" w:hAnsi="Times New Roman" w:cs="Times New Roman"/>
          <w:sz w:val="24"/>
          <w:szCs w:val="24"/>
        </w:rPr>
        <w:t>Общата стойност на разходите по работни места, по компонент и общо за проекта трябва да съответстват на стойностите, които са определени във формуляра и да имат връзка с оферта (оферти) или друг независим източник на</w:t>
      </w:r>
      <w:r w:rsidR="00D95C5F" w:rsidRPr="004F3CEC">
        <w:rPr>
          <w:rFonts w:ascii="Times New Roman" w:hAnsi="Times New Roman" w:cs="Times New Roman"/>
          <w:sz w:val="24"/>
          <w:szCs w:val="24"/>
          <w:lang w:val="bg-BG"/>
        </w:rPr>
        <w:t xml:space="preserve"> </w:t>
      </w:r>
      <w:r w:rsidR="00D95C5F" w:rsidRPr="004F3CEC">
        <w:rPr>
          <w:rFonts w:ascii="Times New Roman" w:hAnsi="Times New Roman" w:cs="Times New Roman"/>
          <w:sz w:val="24"/>
          <w:szCs w:val="24"/>
        </w:rPr>
        <w:t>икономическа информац</w:t>
      </w:r>
      <w:r w:rsidR="0088688D">
        <w:rPr>
          <w:rFonts w:ascii="Times New Roman" w:hAnsi="Times New Roman" w:cs="Times New Roman"/>
          <w:sz w:val="24"/>
          <w:szCs w:val="24"/>
        </w:rPr>
        <w:t>ия, които се посочват</w:t>
      </w:r>
      <w:r w:rsidR="0088688D">
        <w:rPr>
          <w:rFonts w:ascii="Times New Roman" w:hAnsi="Times New Roman" w:cs="Times New Roman"/>
          <w:sz w:val="24"/>
          <w:szCs w:val="24"/>
          <w:lang w:val="bg-BG"/>
        </w:rPr>
        <w:t>.</w:t>
      </w:r>
    </w:p>
    <w:p w:rsidR="004F3CEC" w:rsidRPr="004F3CEC" w:rsidRDefault="00283D60" w:rsidP="00283D60">
      <w:pPr>
        <w:pStyle w:val="ListParagraph"/>
        <w:ind w:left="0" w:right="-421" w:hanging="284"/>
        <w:jc w:val="both"/>
        <w:rPr>
          <w:rFonts w:ascii="Times New Roman" w:hAnsi="Times New Roman" w:cs="Times New Roman"/>
          <w:sz w:val="24"/>
          <w:szCs w:val="24"/>
        </w:rPr>
      </w:pPr>
      <w:r>
        <w:rPr>
          <w:rFonts w:ascii="Times New Roman" w:hAnsi="Times New Roman" w:cs="Times New Roman"/>
          <w:sz w:val="24"/>
          <w:szCs w:val="24"/>
        </w:rPr>
        <w:t>12.</w:t>
      </w:r>
      <w:r w:rsidR="00D95C5F" w:rsidRPr="004F3CEC">
        <w:rPr>
          <w:rFonts w:ascii="Times New Roman" w:hAnsi="Times New Roman" w:cs="Times New Roman"/>
          <w:sz w:val="24"/>
          <w:szCs w:val="24"/>
        </w:rPr>
        <w:t>Когато се определя собствено участие, то се обособява по дейности като разлика между "всичко разходите за дейност …" и определената</w:t>
      </w:r>
      <w:r w:rsidR="00D95C5F" w:rsidRPr="004F3CEC">
        <w:rPr>
          <w:rFonts w:ascii="Times New Roman" w:hAnsi="Times New Roman" w:cs="Times New Roman"/>
          <w:sz w:val="24"/>
          <w:szCs w:val="24"/>
          <w:lang w:val="bg-BG"/>
        </w:rPr>
        <w:t xml:space="preserve"> </w:t>
      </w:r>
      <w:r w:rsidR="00D95C5F" w:rsidRPr="004F3CEC">
        <w:rPr>
          <w:rFonts w:ascii="Times New Roman" w:hAnsi="Times New Roman" w:cs="Times New Roman"/>
          <w:sz w:val="24"/>
          <w:szCs w:val="24"/>
        </w:rPr>
        <w:t>за тази дейност сума.</w:t>
      </w:r>
    </w:p>
    <w:p w:rsidR="004F3CEC" w:rsidRPr="004F3CEC" w:rsidRDefault="00283D60" w:rsidP="00283D60">
      <w:pPr>
        <w:pStyle w:val="ListParagraph"/>
        <w:ind w:left="0" w:right="-421" w:hanging="284"/>
        <w:jc w:val="both"/>
        <w:rPr>
          <w:rFonts w:ascii="Times New Roman" w:hAnsi="Times New Roman" w:cs="Times New Roman"/>
          <w:sz w:val="24"/>
          <w:szCs w:val="24"/>
        </w:rPr>
      </w:pPr>
      <w:r>
        <w:rPr>
          <w:rFonts w:ascii="Times New Roman" w:hAnsi="Times New Roman" w:cs="Times New Roman"/>
          <w:sz w:val="24"/>
          <w:szCs w:val="24"/>
        </w:rPr>
        <w:t>13.</w:t>
      </w:r>
      <w:r w:rsidR="00D95C5F" w:rsidRPr="004F3CEC">
        <w:rPr>
          <w:rFonts w:ascii="Times New Roman" w:hAnsi="Times New Roman" w:cs="Times New Roman"/>
          <w:sz w:val="24"/>
          <w:szCs w:val="24"/>
        </w:rPr>
        <w:t>Когато се разкриват повече работни места, в бюджета се добавят редове за допълнителни работни места, за допълнителни дейности и разходи</w:t>
      </w:r>
      <w:r w:rsidR="00D95C5F" w:rsidRPr="004F3CEC">
        <w:rPr>
          <w:rFonts w:ascii="Times New Roman" w:hAnsi="Times New Roman" w:cs="Times New Roman"/>
          <w:sz w:val="24"/>
          <w:szCs w:val="24"/>
          <w:lang w:val="bg-BG"/>
        </w:rPr>
        <w:t xml:space="preserve"> </w:t>
      </w:r>
      <w:r w:rsidR="00D95C5F" w:rsidRPr="004F3CEC">
        <w:rPr>
          <w:rFonts w:ascii="Times New Roman" w:hAnsi="Times New Roman" w:cs="Times New Roman"/>
          <w:sz w:val="24"/>
          <w:szCs w:val="24"/>
        </w:rPr>
        <w:t>като се спазва редът за попълване, посочен в предходните точки.</w:t>
      </w:r>
      <w:r w:rsidR="00D95C5F" w:rsidRPr="004F3CEC">
        <w:rPr>
          <w:rFonts w:ascii="Times New Roman" w:hAnsi="Times New Roman" w:cs="Times New Roman"/>
          <w:sz w:val="24"/>
          <w:szCs w:val="24"/>
        </w:rPr>
        <w:tab/>
      </w:r>
    </w:p>
    <w:p w:rsidR="00525D92" w:rsidRPr="004F3CEC" w:rsidRDefault="00283D60" w:rsidP="00283D60">
      <w:pPr>
        <w:pStyle w:val="ListParagraph"/>
        <w:ind w:left="0" w:right="-421" w:hanging="284"/>
        <w:jc w:val="both"/>
        <w:rPr>
          <w:rFonts w:ascii="Times New Roman" w:hAnsi="Times New Roman" w:cs="Times New Roman"/>
          <w:sz w:val="24"/>
          <w:szCs w:val="24"/>
        </w:rPr>
      </w:pPr>
      <w:r>
        <w:rPr>
          <w:rFonts w:ascii="Times New Roman" w:hAnsi="Times New Roman" w:cs="Times New Roman"/>
          <w:sz w:val="24"/>
          <w:szCs w:val="24"/>
        </w:rPr>
        <w:t>14.</w:t>
      </w:r>
      <w:r w:rsidR="00D95C5F" w:rsidRPr="004F3CEC">
        <w:rPr>
          <w:rFonts w:ascii="Times New Roman" w:hAnsi="Times New Roman" w:cs="Times New Roman"/>
          <w:sz w:val="24"/>
          <w:szCs w:val="24"/>
        </w:rPr>
        <w:t>След изготвяне на бюджета непопълнените редове за цели компоненти или непопълнените редове за работни места могат да се изтрият.</w:t>
      </w:r>
      <w:r w:rsidR="00D95C5F" w:rsidRPr="004F3CEC">
        <w:rPr>
          <w:rFonts w:ascii="Times New Roman" w:hAnsi="Times New Roman" w:cs="Times New Roman"/>
          <w:sz w:val="24"/>
          <w:szCs w:val="24"/>
        </w:rPr>
        <w:tab/>
      </w:r>
      <w:r w:rsidR="00D95C5F" w:rsidRPr="004F3CEC">
        <w:rPr>
          <w:rFonts w:ascii="Times New Roman" w:hAnsi="Times New Roman" w:cs="Times New Roman"/>
          <w:sz w:val="24"/>
          <w:szCs w:val="24"/>
        </w:rPr>
        <w:tab/>
      </w:r>
      <w:r w:rsidR="00D95C5F" w:rsidRPr="004F3CEC">
        <w:rPr>
          <w:rFonts w:ascii="Times New Roman" w:hAnsi="Times New Roman" w:cs="Times New Roman"/>
          <w:sz w:val="24"/>
          <w:szCs w:val="24"/>
        </w:rPr>
        <w:tab/>
      </w:r>
      <w:r w:rsidR="00D95C5F" w:rsidRPr="004F3CEC">
        <w:rPr>
          <w:rFonts w:ascii="Times New Roman" w:hAnsi="Times New Roman" w:cs="Times New Roman"/>
          <w:sz w:val="24"/>
          <w:szCs w:val="24"/>
        </w:rPr>
        <w:tab/>
      </w:r>
      <w:r w:rsidR="00D95C5F" w:rsidRPr="004F3CEC">
        <w:rPr>
          <w:rFonts w:ascii="Times New Roman" w:hAnsi="Times New Roman" w:cs="Times New Roman"/>
          <w:sz w:val="24"/>
          <w:szCs w:val="24"/>
        </w:rPr>
        <w:tab/>
      </w:r>
      <w:r w:rsidR="00D95C5F" w:rsidRPr="004F3CEC">
        <w:rPr>
          <w:rFonts w:ascii="Times New Roman" w:hAnsi="Times New Roman" w:cs="Times New Roman"/>
          <w:sz w:val="24"/>
          <w:szCs w:val="24"/>
        </w:rPr>
        <w:tab/>
      </w:r>
      <w:r w:rsidR="00D95C5F" w:rsidRPr="004F3CEC">
        <w:rPr>
          <w:rFonts w:ascii="Times New Roman" w:hAnsi="Times New Roman" w:cs="Times New Roman"/>
          <w:sz w:val="24"/>
          <w:szCs w:val="24"/>
        </w:rPr>
        <w:tab/>
      </w:r>
    </w:p>
    <w:sectPr w:rsidR="00525D92" w:rsidRPr="004F3CEC" w:rsidSect="004F3CEC">
      <w:pgSz w:w="12240" w:h="15840"/>
      <w:pgMar w:top="1135"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83A4E"/>
    <w:multiLevelType w:val="hybridMultilevel"/>
    <w:tmpl w:val="398E8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10C"/>
    <w:rsid w:val="00170080"/>
    <w:rsid w:val="0020010C"/>
    <w:rsid w:val="00283D60"/>
    <w:rsid w:val="004F3CEC"/>
    <w:rsid w:val="00525D92"/>
    <w:rsid w:val="0088688D"/>
    <w:rsid w:val="009A449B"/>
    <w:rsid w:val="00D95C5F"/>
    <w:rsid w:val="00E612C4"/>
    <w:rsid w:val="00EB64F0"/>
    <w:rsid w:val="00EC7E17"/>
    <w:rsid w:val="00EE0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C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Kremena Skechelieva</cp:lastModifiedBy>
  <cp:revision>2</cp:revision>
  <dcterms:created xsi:type="dcterms:W3CDTF">2020-07-10T07:36:00Z</dcterms:created>
  <dcterms:modified xsi:type="dcterms:W3CDTF">2020-07-10T07:36:00Z</dcterms:modified>
</cp:coreProperties>
</file>