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244BD" w:rsidRDefault="005D65B8">
      <w:pPr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НАРЕДБА ЗА РЕДА ЗА ИЗБОР НА ОСИГУРЯВАНЕ, ВНАСЯНЕ И РАЗПРЕДЕЛЯНЕ НА ЗАДЪЛЖИТЕЛНИТЕ ОСИГУРИТЕЛНИ ВНОСКИ, ВНОСКИТЕ ЗА ФОНД "ГАРАНТИРАНИ ВЗЕМАНИЯ НА РАБОТНИЦИТЕ И СЛУЖИТЕЛИТЕ" И ЗА ОБМЕН НА ИНФОРМАЦИЯ</w:t>
      </w:r>
    </w:p>
    <w:p w:rsidR="00000000" w:rsidRPr="005244BD" w:rsidRDefault="005D65B8">
      <w:pPr>
        <w:spacing w:before="283"/>
        <w:ind w:firstLine="850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i/>
          <w:iCs/>
          <w:sz w:val="24"/>
          <w:szCs w:val="24"/>
          <w:highlight w:val="white"/>
          <w:shd w:val="clear" w:color="auto" w:fill="FEFEFE"/>
        </w:rPr>
        <w:t>В сила от 04.09.2015 г.</w:t>
      </w:r>
    </w:p>
    <w:p w:rsidR="00000000" w:rsidRPr="005244BD" w:rsidRDefault="005D65B8">
      <w:pPr>
        <w:spacing w:before="283"/>
        <w:ind w:firstLine="850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i/>
          <w:iCs/>
          <w:sz w:val="24"/>
          <w:szCs w:val="24"/>
          <w:highlight w:val="white"/>
          <w:shd w:val="clear" w:color="auto" w:fill="FEFEFE"/>
        </w:rPr>
        <w:t>Приета с ПМС № 233 от 31.08.2015 г.</w:t>
      </w:r>
    </w:p>
    <w:p w:rsidR="00000000" w:rsidRPr="005244BD" w:rsidRDefault="005D65B8">
      <w:pPr>
        <w:spacing w:before="283"/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i/>
          <w:iCs/>
          <w:sz w:val="24"/>
          <w:szCs w:val="24"/>
          <w:highlight w:val="white"/>
          <w:shd w:val="clear" w:color="auto" w:fill="FEFEFE"/>
        </w:rPr>
        <w:t xml:space="preserve">Обн. ДВ. бр.68 от 4 Септември 2015г., изм. и доп. ДВ. бр.5 от 19 Януари 2016г., </w:t>
      </w:r>
      <w:r w:rsidRPr="005244BD">
        <w:rPr>
          <w:rFonts w:eastAsia="Times New Roman"/>
          <w:b/>
          <w:bCs/>
          <w:i/>
          <w:iCs/>
          <w:sz w:val="24"/>
          <w:szCs w:val="24"/>
          <w:highlight w:val="white"/>
          <w:shd w:val="clear" w:color="auto" w:fill="FEFEFE"/>
        </w:rPr>
        <w:t>изм. ДВ. бр.28 от 4 Април 2017г.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1. С наредбата се уреждат: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1. редът за внасяне и разпределяне на задължителните осигурителни вноски за държавното обществено осигуряване,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Националната здравноосигурителна каса (НЗОК), Учителския пенсионен фонд, фондовете за допълнително задължително пенсионно осигуряване и вноските за Фонд "Гарантирани вземания на работниците и служителите", както и лихвите по тях и други приходи в Националн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ата агенция за приходите (НАП);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2. редът и начинът за избор за промяна на осигуряване по чл. 4б, ал. 1 от Кодекса за социално осигуряване;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3. (изм. и доп. - ДВ, бр. 5 от 2016 г., в сила от 01.01.2016 г.) редът за внасяне и разпределяне на увеличената осигу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рителна вноска за Фонд "Пенсии" и Фонд "Пенсии за лицата по чл. 69 от Кодекса за социално осигуряване (КСО)" на държавното обществено осигуряване в размера на вноската за универсален пенсионен фонд за лицата, направили избор по чл. 4б, ал. 1 от КСО;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4. (В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сила от 01.01.2016 г.) редът и начинът за избор за промяна на осигуряване по чл. 4в, ал. 1 КСО;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5. (В сила от 01.01.2016 г.) редът за внасяне и разпределяне на увеличената осигурителна вноска за Фонд "Пенсии" на държавното обществено осигуряване в размера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на съответната вноска за професионален пенсионен фонд за лицата, направили избор по чл. 4в, ал. 1 КСО;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6. редът за прехвърляне от универсален пенсионен фонд на натрупаните средства по индивидуалните партиди на лицата, направили избор по чл. 4б, ал. 1 КСО,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в Държавния фонд за гарантиране устойчивост на държавната пенсионна система;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7. редът за прехвърляне на средствата от Държавния фонд за гарантиране устойчивост на държавната пенсионна система в избран универсален пенсионен фонд, когато осигурено лице е нап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равило промяна на осигуряването си на основание чл. 124а, ал. 1 КСО;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8. (В сила от 01.01.2016 г.) редът за прехвърляне от професионален пенсионен фонд на натрупаните средства по индивидуалните партиди на лицата, направили избор по чл. 4в, ал. 1 КСО, във Фо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нд "Пенсии" на държавното обществено осигуряване.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2. (1) Осигурителните вноски с изключение на вноските за Фонд "Пенсии" на държавното обществено осигуряване в размера на увеличената осигурителна вноска за универсален пенсионен фонд, съответно за профе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сионален пенсионен фонд, осигурителните вноски за Учителския пенсионен фонд и вноските за Фонд "Гарантирани вземания на работниците и служителите" и лихвите по тях се внасят по банковата сметка на компетентната териториална дирекция (ТД) на НАП за събиране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на приходите за социалноосигурителните фондове към Националния осигурителен институт (НОИ).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(2) Осигурителните вноски и лихвите по тях за здравно осигуряване се внасят по банковата сметка на компетентната ТД на НАП за събиране на приходите за НЗОК.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(3) Ос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игурителните вноски и лихвите по тях за допълнително задължително пенсионно осигуряване се внасят по банкова сметка за допълнително задължително пенсионно осигуряване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на компетентната ТД на НАП.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(4) Осигурителните вноски за Фонд "Пенсии" в размера на увели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чената осигурителна вноска за универсален пенсионен фонд, съответно за професионален пенсионен фонд, и лихвите по тях се внасят по банкова сметка за допълнително задължително пенсионно осигуряване на компетентната ТД на НАП.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3. (1) Задължителните осигу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рителни вноски и вноските за Фонд "Гарантирани вземания на работниците и служителите" се изчисляват, както следва: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1. (отм. - ДВ, бр. 28 от 2017 г., в сила от 01.01.2017 г.)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2. (доп. - ДВ, бр. 5 от 2016 г., в сила от 01.01.2016 г., изм. - ДВ, бр. 28 от 201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7 г., в сила от 01.01.2017 г.) от осигурителния доход, върху който се дължат осигурителни вноски за Фонд "Пенсии", съответно за Фонд "Пенсии за лицата по чл. 69 КСО", Фонд "Общо заболяване и майчинство" и Фонд "Безработица" на държавното обществено осигуря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ване, и размерите на осигурителните вноски за тези фондове - поотделно за сметка на осигурителя и на осигуреното лице;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3. от осигурителния доход, върху който се дължат осигурителни вноски за Фонд "Трудова злополука и професионална болест" на държавното общ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ествено осигуряване, и размера на осигурителната вноска за този фонд;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4. от осигурителния доход, върху който се дължат осигурителни вноски за Учителския пенсионен фонд, и размера на осигурителната вноска за този фонд;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5. от осигурителния доход, в това числ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о върху средствата за социални разходи, върху който се дължат осигурителни вноски за допълнително задължително пенсионно осигуряване в универсален пенсионен фонд или осигурителни вноски за лицата, направили избор по чл. 4б, ал. 1 КСО, в размера на осигурит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елната вноска за универсален пенсионен фонд и размерите им - поотделно за сметка на осигурителя и на осигуреното лице;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6. от осигурителния доход, върху който се дължат осигурителни вноски за допълнително задължително пенсионно осигуряване в професионален п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енсионен фонд или осигурителни вноски за лицата, направили избор по чл. 4в, ал. 1 КСО, в размера на осигурителната вноска за професионален пенсионен фонд, в това число средствата за социални разходи, върху които се дължат осигурителни вноски за този фонд,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 размерите на осигурителните вноски за същия фонд;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7. от осигурителния доход, върху който се дължат осигурителни вноски за здравно осигуряване за периодите на временна неработоспособност, бременност и раждане и за периодите на отглеждане на дете по чл. 16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4, ал. 1 и 3 и осиновяване по чл. 164б, ал. 1 и 4 от Кодекса на труда, и съответната част от размера на осигурителната вноска за здравно осигуряване;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8. от осигурителния доход, върху който се дължат осигурителни вноски за здравно осигуряване, в това число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средствата за социални разходи, върху които се дължат осигурителни вноски за здравно осигуряване, и размерите на осигурителните вноски за здравно осигуряване - поотделно за сметка на осигурителя и на осигуреното лице;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9. от осигурителния доход, върху който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се дължат осигурителни вноски само за здравно осигуряване, и съответната част от размера на осигурителната вноска за здравно осигуряване;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10. от брутното трудово възнаграждение, върху което се дължат вноски за Фонд "Гарантирани вземания на работниците и с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лужителите", и размера на вноската за този фонд.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(2) Вноските по ал. 1 се изчисляват до втория знак след десетичната запетая, за всяко осигурено лице поотделно, като закръгляването им се извършва по следния начин: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1. когато третата цифра след десетичната з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апетая е в интервала от 0 до 4, втората цифра след десетичната запетая остава непроменена;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2. когато третата цифра след десетичната запетая е в интервала от 5 до 9, се прибавя единица към втората цифра след десетичната запетая.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4. (1) (Изм. - ДВ, бр. 2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8 от 2017 г., в сила от 01.05.2017 г.) Работодателите,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осигурителите, самоосигуряващите се лица, лицата по чл. 4, ал. 9 от Кодекса за социално осигуряване и осигурителните каси внасят задължителните осигурителни вноски и вноските за Фонд "Гарантирани взема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ния на работниците и служителите" в сметките по чл. 2 чрез банка, лицензиран пощенски оператор или чрез поделенията им, или чрез други платежни институции, лицензирани за предоставяне на платежни услуги по безкасово плащане на територията на Република Бълг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ария, като в платежните документи вписват съответно ЕИК по регистър БУЛСТАТ/ЕИК на търговеца, Единен граждански номер/личен номер/личен номер на чужденец (ЕГН/ЛН/ЛНЧ), служебен номер, издаден от НАП.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(2) Регистрираните с 13-значен ЕИК по регистър БУЛСТАТ/Е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ИК на търговеца клонове и поделения вписват този ЕИК в платежните документи при внасяне на задължителните осигурителни вноски и на вноските за Фонд "Гарантирани вземания на работниците и служителите" по съответната сметка на компетентната ТД на НАП.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(3) Ос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игурителите и самоосигуряващите се лица с изключение на лицата по чл. 40, ал. 5 от Закона за здравното осигуряване, които внасят задължителни осигурителни вноски, отнасящи се за периоди преди 1 януари 2005 г., подават заявление съгласно приложение № 1 пред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 внасянето на осигурителните вноски.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(4) Осигурителите, самоосигуряващите се лица и лицата по чл. 4, ал. 9 от Кодекса за социално осигуряване, когато имат повече от едно задължение за допълнително задължително пенсионно осигуряване, на основание чл. 159,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ал. 4 от Кодекса за социално осигуряване могат да заявят кое от тях погасяват до започването на принудителното им събиране, като подадат заявление съгласно приложение № 2.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(5) (Доп. - ДВ, бр. 5 от 2016 г., в сила от 01.01.2016 г.) Осигурените в универсален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пенсионен фонд лица, които изберат да се осигуряват само във Фонд "Пенсии", съответно във Фонд "Пенсии за лицата по чл. 69 КСО", на държавното обществено осигуряване, подават заявление съгласно приложение № 3.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(6) (В сила от 01.01.2016 г.) Осигурените в п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рофесионален пенсионен фонд лица, които изберат да се осигуряват само във Фонд "Пенсии" на държавното обществено осигуряване, подават заявление съгласно приложение № 4.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(7) Заявленията по ал. 3 - 6 се подават в компетентната ТД на НАП.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(8) Заявленията по а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л. 5 и 6 се подават лично или от упълномощено с нотариално заверено изрично пълномощно лице или по електронен път с квалифициран електронен подпис на осигуреното лице.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(9) Не се приемат от НАП заявления по ал. 5, подадени от осигурени в универсален пенсион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ен фонд лица, които към датата на подаване на заявлението не отговарят на условията по чл. 4б, ал. 1 и/или ал. 2 КСО.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(10) (В сила от 01.01.2016 г.) Не се приемат от НАП заявления по ал. 6, подадени от осигурени в професионален пенсионен фонд лица, на коит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о към датата на подаване на заявлението е отпусната пенсия за осигурителен стаж и възраст или професионална пенсия за ранно пенсиониране.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Чл. 5. (1) Събраните по сметките по чл. 2 средства се централизират ежедневно към сметки на НАП в Българската народна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банка по ред, определен със съвместни указания на министъра на финансите и на управителя на Българската народна банка съгласно чл. 151, ал. 1 от Закона за публичните финанси.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(2) Средствата от индивидуалната партида в универсален пенсионен фонд за лицата,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които са подали заявление по чл. 4, ал. 5, се прехвърлят от пенсионноосигурителните дружества по сметка на НАП.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(3) (Нова - ДВ, бр. 5 от 2016 г., в сила от 01.01.2016 г.) Средствата от индивидуалната партида в професионален пенсионен фонд за лицата, които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са подали заявление по чл. 4, ал. 6, се прехвърлят от пенсионноосигурителните дружества по сметка на НОИ.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Чл. 6. (1) (Доп. - ДВ, бр. 5 от 2016 г., в сила от 01.01.2016 г.) Дължимите вноски за държавното обществено осигуряване с изключение на вноските за Фо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нд "Пенсии" и вноските за Фонд "Пенсии за лицата по чл. 69 КСО" в размера на увеличената осигурителна вноска за универсален пенсионен фонд, съответно за професионален пенсионен фонд, осигурителните вноски за Учителския пенсионен фонд, за НЗОК от бюджетните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организации, без общините, се превеждат от сметки на централния бюджет по съответните сметки на НОИ и НЗОК в Българската народна банка с изключение на вноските по ал. 4.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(2) (Доп. - ДВ, бр. 5 от 2016 г., в сила от 01.01.2016 г.) Дължимите вноски за фондов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ете за допълнително задължително пенсионно осигуряване, включително увеличените осигурителни вноски за Фонд "Пенсии", съответно за Фонд "Пенсии за лицата по чл. 69 КСО", в размера на вноската за универсален пенсионен фонд за лицата, направили избор по чл.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4б, ал. 1 КСО, и увеличената осигурителна вноска в размера на осигурителната вноска за професионален пенсионен фонд за лицата, направили избор по чл. 4в, ал. 1 КСО, от бюджетните организации, без общините, се превеждат от сметките на централния бюджет по с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пециализирана сметка на НАП за допълнително задължително пенсионно осигуряване в Българската народна банка с изключение на вноските по ал. 3.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(3) Дължимите вноски за фондовете за допълнително задължително пенсионно осигуряване, включително увеличените осиг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урителни вноски за Фонд "Пенсии", в размера на вноската за универсален пенсионен фонд за лицата, направили избор по чл. 4б, ал. 1 КСО, за осигурените от НОИ и НЗОК лица се отчитат и превеждат от сметките на НОИ и на НЗОК по сметката по ал. 2 по реда на чл.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160, ал. 4 от Закона за публичните финанси.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(4) Националният осигурителен институт и НЗОК отчитат и се разчитат помежду си за дължимите от тях здравноосигурителни вноски и вноски за държавното обществено осигуряване по реда на чл. 159, ал. 11 от Закона за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публичните финанси.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(5) Министерството на финансите изпраща на НОИ, НЗОК и на НАП съответната обобщена информация във връзка с извършените преводи по ал. 1 и 2.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(6) Националният осигурителен институт и НЗОК изпращат необходимата информация на НАП във връз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ка с извършените преводи по ал. 3 и 4.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7. (1) Постъпилите по сметките по чл. 5 на НАП в Българската народна банка суми за държавното обществено осигуряване, за Учителския пенсионен фонд и за Фонд "Гарантирани вземания на работниците и служителите" се п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ревеждат по банковата сметка на НОИ за държавното обществено осигуряване в Българската народна банка, за НЗОК - по банковата бюджетна сметка на НЗОК в Българската народна банка, а за фондовете за допълнително задължително пенсионно осигуряване - по банкова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та сметка на НАП по чл. 6, ал. 2.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(2) Преводите по ал. 1 се извършват ежедневно по ред, определен от министъра на финансите и от управителя на Българската народна банка.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(3) (Доп. - ДВ, бр. 5 от 2016 г., в сила от 01.01.2016 г.) Постъпилите по специализира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ната сметка за допълнително задължително пенсионно осигуряване на НАП осигурителни вноски за Фонд "Пенсии", съответно за Фонд "Пенсии за лицата по чл. 69 КСО", на държавното обществено осигуряване в размера на осигурителната вноска за универсален пенсионен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фонд за периоди след направения избор от лицата по чл. 4б, ал. 1 КСО се превеждат по банковата сметка на НОИ за държавното обществено осигуряване в Българската народна банка в срок до 25-о число на месеца, следващ месеца на постъпването им.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(4) Постъпилит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е по специализираната сметка за допълнително задължително пенсионно осигуряване на НАП осигурителни вноски за универсален пенсионен фонд за лицата по чл. 4б, ал. 1 КСО за периоди преди направения избор се прехвърлят в Държавния фонд за гарантиране устойчив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ост на държавната пенсионна система в срок до 25-о число на месеца, следващ месеца на постъпването им.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(5) (В сила от 01.01.2016 г.) Постъпилите по специализираната сметка за допълнително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задължително пенсионно осигуряване на НАП осигурителни вноски за Фон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д "Пенсии" на държавното обществено осигуряване в размера на осигурителните вноски за професионален пенсионен фонд - за лицата по чл. 4в, ал. 1 КСО, се превеждат по банковата сметка на НОИ за държавното обществено осигуряване в Българската народна банка в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срок до 25-о число на месеца, следващ месеца на постъпването им.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(6) Сумите, отнасящи се за Учителския пенсионен фонд и за Фонд "Гарантирани вземания на работниците и служителите", се прехвърлят от сметката на НОИ за държавното обществено осигуряване по съ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ответните им сметки в Българската народна банка най-малко веднъж месечно.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(7) За целите на изготвяне на отчетите за касовото изпълнение на бюджетите на държавното обществено осигуряване, Учителския пенсионен фонд, Фонд "Гарантирани вземания на работниците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 служителите" и бюджета на НЗОК неуточнените към края на отчетния период суми, постъпили по съответните сметки по чл. 2, ал. 1 и 2, се отчитат по приходни позиции на базата на относителния дял на съответната приходна позиция в общия размер на установените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и постъпили за съответния период суми.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(8) Сумите по ал. 6 се включват в преводите по ал. 1.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(9) (Нова - ДВ, бр. 5 от 2016 г., в сила от 01.01.2016 г.) Постъпилите по специализираната сметка за допълнително задължително пенсионно осигуряване на НАП осигур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ителни вноски за професионален пенсионен фонд за лицата по чл. 4в, ал. 1 КСО за периоди преди направения избор се прехвърлят във Фонд "Пенсии" на държавното обществено осигуряване в срок до 25-о число на месеца, следващ месеца на постъпването им.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8. (1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) Централизираните средства за допълнително задължително пенсионно осигуряване от осигурителни вноски и лихвите по тях се разпределят по откритите от пенсионноосигурителните дружества сметки на професионалните и универсалните пенсионни фондове съобразно ос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игурените в тях лица, размера на осигурителните им вноски и данните, представени съгласно чл. 5, ал. 4, т. 1 КСО.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(2) Когато подадените данни за осигурените лица не съответстват на внесените осигурителни вноски по сметката за допълнително задължително пенс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ионно осигуряване, преводите се извършват пропорционално на осигурителните вноски за лицата в размер, не по-голям от изчисления съгласно данните по чл. 5, ал. 4, т. 1 КСО.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(3) Осигурителните вноски за професионален пенсионен фонд за лицата, работещи при ус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ловията на I и II категория труд и получаващи пенсия за осигурителен стаж и възраст, се превеждат по сметката на НОИ за държавното обществено осигуряване в Българската народна банка.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(4) Осигурителните вноски, които поради липсваща или погрешна информация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в данните по чл. 5, ал. 4, т. 1 КСО или в банковите документи не са разпределени в срока по чл. 159, ал. 6 КСО, се влагат по левови депозитни сметки в Българската народна банка на НАП.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(5) Правилата по ал. 4 се прилагат и за сумите от осигурителни вноски з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а осигурените лица до избора или служебното разпределение в професионален и/или в универсален пенсионен фонд.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(6) (Доп. - ДВ, бр. 5 от 2016 г., в сила от 01.01.2016 г.) Националната агенция за приходите ежегодно разпределя лихвата от вложените на депозит с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редства по ал. 4 и ги превежда по сметките на професионалните и универсалните пенсионни фондове, открити от управляващите ги пенсионноосигурителни дружества и Фонд "Пенсии", съответно Фонд "Пенсии за лицата по чл. 69 КСО", на държавното обществено осигуряв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ане. Разпределянето се извършва пропорционално на размера на осигурителните вноски, преведени към професионалните и универсалните фондове и Фонд "Пенсии", съответно Фонд "Пенсии за лицата по чл. 69 КСО", на държавното обществено осигуряване за предходната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година.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Чл. 9. (Доп. - ДВ, бр. 5 от 2016 г., в сила от 01.01.2016 г.) Постъпилите по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специализираната сметка на НАП за допълнително задължително пенсионно осигуряване осигурителни вноски за Фонд "Пенсии" и Фонд "Пенсии за лицата по чл. 69 КСО" на държавнот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о обществено осигуряване в размера на вноската за универсален пенсионен фонд за лицата, направили избор по чл. 4б, ал. 1 КСО, и в размера на съответната вноска за професионален пенсионен фонд за лицата, направили избор по чл. 4в, ал. 1 КСО, се разпределят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 превеждат по банковата сметка на НОИ за държавното обществено осигуряване съобразно подадените заявления по чл. 4, ал. 5 и 6, данните, представени съгласно чл. 5, ал. 4, т. 1 КСО и внесените осигурителни вноски.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10. (1) Националната агенция за приход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ите предоставя информацията за осигурените лица и за размера на събраните за тях осигурителни вноски за допълнително задължително пенсионно осигуряване на пенсионноосигурителните дружества в срокове, определени с договорите по чл. 159, ал. 8 КСО.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(2) Нацио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налната агенция за приходите предоставя информация на НОИ за лицата по чл. 8, ал. 3 и за размера на събраните за тях осигурителни вноски по ред и в срокове, определени с инструкция по чл. 23 от Закона за Националната агенция за приходите.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(3) Националната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агенция за приходите съхранява информация за осигурените лица, направили избор по чл. 4б, ал. 1, съответно по чл. 4в, ал. 1 КСО, и предоставя тази информация на НОИ. Съдържанието и формата на данните се определят с инструкция по чл. 23 от Закона за Национа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лната агенция за приходите.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(4) Националната агенция за приходите предоставя информация на пенсионноосигурителните дружества за подадените заявления по чл. 4, ал. 5 и 6 до първо число, съответно - до първия работен ден от месеца, следващ месеца на подаване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то им.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(5) На първо число, съответно - на първия работен ден от месеца, следващ месеца на подаване на заявленията по чл. 4, ал. 5, въз основа на информацията по ал. 4 пенсионноосигурителното дружество изчислява размера на средствата по индивидуалните парти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ди на лицата по стойността на един дял, валидна за предходния работен ден, и закрива партидите. Дружеството изготвя и в 10-дневен срок от датата по изречение първо изпраща на НАП информация за размера на средствата по индивидуалните партиди на лицата, пода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ли заявления по чл. 4, ал. 5.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(6) (В сила от 01.01.2016 г.) На първо число, съответно - на първия работен ден от месеца, следващ месеца на подаване на заявленията по чл. 4, ал. 6, въз основа на информацията по ал. 4 пенсионноосигурителното дружество изчисл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ява размера на средствата по индивидуалните партиди на лицата по стойността на един дял, валидна за предходния работен ден, и закрива партидите. Дружеството изготвя и в 10-дневен срок от датата по изречение първо изпраща на НОИ информация за размера на сре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дствата по индивидуалните партиди на лицата, подали заявления по чл. 4, ал. 6.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(7) Пенсионноосигурителното дружество превежда средствата по ал. 5 и 6 в сроковете по чл. 129, ал. 13 и 17 КСО и в деня на превода предоставя по електронен път с квалифициран ел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ектронен подпис информация на НАП, съответно на НОИ, за размера на прехвърлените за всяко лице средства.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(8) В едноседмичен срок от превода по ал. 7 пенсионноосигурителното дружество изпраща на всяко осигурено лице с писмо с обратна разписка извлечение от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индивидуалната му партида и го уведомява за извършеното прехвърляне на средствата.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11. (1) (Доп. - ДВ, бр. 5 от 2016 г., в сила от 01.01.2016 г.) Осигурените лица, родени след 31 декември 1959 г., които се осигуряват само във Фонд "Пенсии" на държавнот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о обществено осигуряване или само във Фонд "Пенсии за лицата по чл. 69 КСО" на държавното обществено осигуряване, възобновяват осигуряването си в универсален пенсионен фонд, като подадат индивидуално заявление до пенсионноосигурително дружество, управляващ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о фонда, в който желаят да участват. Заявлението се подава по ред, определен с наредба, издадена от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Комисията за финансов надзор на основание чл. 137, ал. 3 КСО.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(2) Пенсионноосигурителното дружество подава в НАП информация за приетите по ал. 1 индивидуалн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 заявления в срок до първо число, съответно - до първия работен ден от месеца, следващ месеца на подаването им.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(3) Националната агенция за приходите представя на пенсионноосигурителното дружество информация за валидността на заявленията по ал. 1 в срок д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о 15-о число на месеца, следващ месеца на подаването им.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(4) В срока по ал. 3 НАП уведомява Министерството на финансите за размера на прехвърлените средства в Държавния фонд за гарантиране устойчивост на държавната пенсионна система за всяко лице, което е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възобновило осигуряването си в универсален пенсионен фонд.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(5) Прехвърлянето на средствата за лицата, които са възобновили осигуряването си в универсален пенсионен фонд, се извършва от НАП в едномесечен срок от подадената по ал. 2 информация от пенсионноос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игурителното дружество.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12. Взаимоотношенията между НАП и съответното пенсионноосигурително дружество, произтичащи от КСО, наредбата и другите нормативни актове, във връзка с реда и сроковете за превеждане на осигурителните вноски и лихвите по тях, обм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ена на необходимата информация - нейното съдържание, срокове и начин на предоставяне, се конкретизират с договора по чл. 159, ал. 8 КСО, включително отговорността на страните при неспазване на договорените задължения.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Чл. 13. (1) За прехвърлянето на средст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вата по чл. 1, т. 6 и 7 се използват сметки на НАП, НОИ, Държавния фонд за гарантиране устойчивост на държавната пенсионна система и на централния бюджет.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(2) Прехвърлянето на средства към/от банкови сметки на Държавния фонд за гарантиране устойчивост на д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ържавната пенсионна система и централния бюджет се извършва и отчита съгласно чл. 22, ал. 2 и 3 от Закона за Държавния фонд за гарантиране устойчивост на държавната пенсионна система.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(3) Други въпроси, свързани с банковите сметки, платежните, отчетните и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бюджетните процедури по прехвърлянето на средствата по чл. 1, т. 6 и 7, се уреждат от министъра на финансите съгласно чл. 129, ал. 18 КСО.</w:t>
      </w:r>
    </w:p>
    <w:p w:rsidR="00000000" w:rsidRPr="005244BD" w:rsidRDefault="005D65B8">
      <w:pPr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Заключителни разпоредби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§ 1. Наредбата се приема на основание чл. 179, ал. 3 от Данъчно-осигурителния процесуален код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екс и чл. 4б, ал. 4, чл. 4в, ал. 2, чл. 124а, ал. 4 и чл. 129, ал. 19 от Кодекса за социално осигуряване. 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§ 2. Наредбата влиза в сила от деня на обнародването ѝ в "Държавен вестник" с изключение на разпоредбите на чл. 1, т. 4, 5 и 8, чл. 4, ал. 6 и 10, чл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. 7, ал. 5 и чл. 10, ал. 6, които влизат в сила от 1 януари 2016 г.</w:t>
      </w:r>
    </w:p>
    <w:p w:rsidR="00000000" w:rsidRPr="005244BD" w:rsidRDefault="005D65B8">
      <w:pPr>
        <w:spacing w:before="240" w:after="240"/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Преходни и Заключителни разпоредби</w:t>
      </w:r>
      <w:r w:rsidRPr="005244BD"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br/>
        <w:t>КЪМ ПОСТАНОВЛЕНИЕ № 5 ОТ 14 ЯНУАРИ 2016 Г. ЗА ИЗМЕНЕНИЕ И ДОПЪЛНЕНИЕ НА НАРЕДБАТА ЗА РЕДА ЗА ИЗБОР НА ОСИГУРЯВАНЕ, ВНАСЯНЕ И РАЗПРЕДЕЛЯНЕ НА ЗАДЪЛЖИТЕЛНИ</w:t>
      </w:r>
      <w:r w:rsidRPr="005244BD"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ТЕ ОСИГУРИТЕЛНИ ВНОСКИ, ВНОСКИТЕ ЗА ФОНД "ГАРАНТИРАНИ ВЗЕМАНИЯ НА РАБОТНИЦИТЕ И СЛУЖИТЕЛИТЕ" И ЗА ОБМЕН НА ИНФОРМАЦИЯ, ПРИЕТА С ПОСТАНОВЛЕНИЕ № 233 НА МИНИСТЕРСКИЯ СЪВЕТ ОТ 2015 Г.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(ОБН. - ДВ, БР. 5 ОТ 2016 Г., В СИЛА ОТ 01.01.2016 Г.)</w:t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§ 11. Осигурените в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ъв Фонд "Пенсии за лицата по чл. 69 КСО" на държавното обществено осигуряване, подали заявление по чл. 4, ал. 5 за промяна на осигуряването си след 31 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декември 2015 г. до деня на обнародването на постановлението в "Държавен вестник", се счита, че са направ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или избор на осигуряване по чл. 4б, ал. 1 КСО и те не подават ново заявление.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§ 12. Постановлението влиза в сила от 1 януари 2016 г. с изключение на § 10, който влиза в сила от деня на обнародването му в "Държавен вестник".</w:t>
      </w:r>
    </w:p>
    <w:p w:rsidR="00000000" w:rsidRPr="005244BD" w:rsidRDefault="005D65B8">
      <w:pPr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Заключителни разпоредби</w:t>
      </w:r>
      <w:r w:rsidRPr="005244BD"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br/>
        <w:t>КЪМ ПОСТ</w:t>
      </w:r>
      <w:r w:rsidRPr="005244BD"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АНОВЛЕНИЕ № 59 ОТ 30 МАРТ 2017 Г. ЗА ИЗМЕНЕНИЕ НА НАРЕДБАТА ЗА РЕДА ЗА ИЗБОР НА ОСИГУРЯВАНЕ, ВНАСЯНЕ И РАЗПРЕДЕЛЯНЕ НА ЗАДЪЛЖИТЕЛНИТЕ ОСИГУРИТЕЛНИ ВНОСКИ, ВНОСКИТЕ ЗА ФОНД "ГАРАНТИРАНИ ВЗЕМАНИЯ НА РАБОТНИЦИТЕ И СЛУЖИТЕЛИТЕ" И ЗА ОБМЕН НА ИНФОРМАЦИЯ, ПРИЕТА</w:t>
      </w:r>
      <w:r w:rsidRPr="005244BD"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С ПОСТАНОВЛЕНИЕ № 233 НА МИНИСТЕРСКИЯ СЪВЕТ ОТ 2015 Г. 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(ОБН. - ДВ, БР. 28 ОТ 2017 Г., В СИЛА ОТ 01.01.2017 Г.)</w:t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§ 7. Постановлението влиза в сила от 1 януари 2017 г. с изключение на § 2 - 6, които влизат в сила от първо число на месеца, следващ месеца на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обнародването му в "Държавен вестник".</w:t>
      </w: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 № 1 към чл. 4, ал. 3</w:t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(Изм. - ДВ, бр. 28 от 2017 г., в сила от 01.05.2017 г.)</w:t>
      </w:r>
    </w:p>
    <w:tbl>
      <w:tblPr>
        <w:tblW w:w="99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90"/>
      </w:tblGrid>
      <w:tr w:rsidR="00000000" w:rsidRPr="005244BD">
        <w:tblPrEx>
          <w:tblCellMar>
            <w:top w:w="0" w:type="dxa"/>
            <w:bottom w:w="0" w:type="dxa"/>
          </w:tblCellMar>
        </w:tblPrEx>
        <w:tc>
          <w:tcPr>
            <w:tcW w:w="1118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tbl>
            <w:tblPr>
              <w:tblW w:w="1096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38"/>
              <w:gridCol w:w="8027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9"/>
              </w:trPr>
              <w:tc>
                <w:tcPr>
                  <w:tcW w:w="2938" w:type="dxa"/>
                  <w:shd w:val="clear" w:color="auto" w:fill="FEFEFE"/>
                  <w:vAlign w:val="center"/>
                </w:tcPr>
                <w:p w:rsidR="00000000" w:rsidRPr="005244BD" w:rsidRDefault="00F4532C">
                  <w:pPr>
                    <w:spacing w:before="100" w:beforeAutospacing="1" w:after="100" w:afterAutospacing="1" w:line="269" w:lineRule="atLeast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>
                    <w:rPr>
                      <w:rFonts w:eastAsia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66850" cy="1657350"/>
                        <wp:effectExtent l="0" t="0" r="0" b="0"/>
                        <wp:docPr id="85" name="Picture 85" descr="C:\Users\nikolay.aleksiev\AppData\Local\Ciela Norma AD\Ciela51\Cache\38384479a9e2664a66afbeac1b1edd3b2ec6d72a723044197674bc0d2f6e2fcd_normi2136601687\17_2211030_tempimage66177672b6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C:\Users\nikolay.aleksiev\AppData\Local\Ciela Norma AD\Ciela51\Cache\38384479a9e2664a66afbeac1b1edd3b2ec6d72a723044197674bc0d2f6e2fcd_normi2136601687\17_2211030_tempimage66177672b6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1657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D65B8"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 xml:space="preserve"> </w:t>
                  </w:r>
                </w:p>
              </w:tc>
              <w:tc>
                <w:tcPr>
                  <w:tcW w:w="8027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b/>
                      <w:bCs/>
                      <w:sz w:val="24"/>
                      <w:szCs w:val="24"/>
                      <w:highlight w:val="white"/>
                      <w:shd w:val="clear" w:color="auto" w:fill="FEFEFE"/>
                    </w:rPr>
                    <w:t>НАЦИОНАЛНА АГЕНЦИЯ ЗА ПРИХОДИТ</w:t>
                  </w:r>
                  <w:r w:rsidRPr="005244BD">
                    <w:rPr>
                      <w:rFonts w:eastAsia="Times New Roman"/>
                      <w:b/>
                      <w:bCs/>
                      <w:sz w:val="24"/>
                      <w:szCs w:val="24"/>
                      <w:highlight w:val="white"/>
                      <w:shd w:val="clear" w:color="auto" w:fill="FEFEFE"/>
                    </w:rPr>
                    <w:t>Е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Териториална дирекция ......................................................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Офис .....................................................</w:t>
                  </w:r>
                </w:p>
                <w:tbl>
                  <w:tblPr>
                    <w:tblW w:w="5220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2"/>
                    <w:gridCol w:w="402"/>
                    <w:gridCol w:w="402"/>
                    <w:gridCol w:w="402"/>
                    <w:gridCol w:w="402"/>
                    <w:gridCol w:w="402"/>
                    <w:gridCol w:w="402"/>
                    <w:gridCol w:w="402"/>
                    <w:gridCol w:w="402"/>
                    <w:gridCol w:w="402"/>
                    <w:gridCol w:w="402"/>
                    <w:gridCol w:w="402"/>
                    <w:gridCol w:w="396"/>
                  </w:tblGrid>
                  <w:tr w:rsidR="00000000" w:rsidRPr="005244B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right"/>
                    </w:trPr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jc w:val="right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402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6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</w:tr>
                </w:tbl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ЕИК по БУЛСТАТ  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    Пощенски код........, адрес............, телефон.............., фак</w:t>
                  </w: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с…….....</w:t>
                  </w:r>
                </w:p>
                <w:p w:rsidR="00000000" w:rsidRPr="005244BD" w:rsidRDefault="005D65B8">
                  <w:pPr>
                    <w:spacing w:before="100" w:beforeAutospacing="1" w:after="100" w:afterAutospacing="1" w:line="269" w:lineRule="atLeast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Вх. № .........../……….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З А Я В Л Е Н И Е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за разпределение на осигурителни вноски, отнасящи се за периоди преди 1 януари 2005 г.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от ......................................................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...........................................................................................................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(име/наименование на задълженото лице)</w:t>
            </w:r>
          </w:p>
          <w:tbl>
            <w:tblPr>
              <w:tblW w:w="519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1"/>
              <w:gridCol w:w="401"/>
              <w:gridCol w:w="401"/>
              <w:gridCol w:w="401"/>
              <w:gridCol w:w="401"/>
              <w:gridCol w:w="401"/>
              <w:gridCol w:w="401"/>
              <w:gridCol w:w="401"/>
              <w:gridCol w:w="401"/>
              <w:gridCol w:w="401"/>
              <w:gridCol w:w="392"/>
              <w:gridCol w:w="392"/>
              <w:gridCol w:w="396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right"/>
              </w:trPr>
              <w:tc>
                <w:tcPr>
                  <w:tcW w:w="40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118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shd w:val="clear" w:color="auto" w:fill="FEFEFE"/>
                  <w:tcMar>
                    <w:left w:w="15" w:type="dxa"/>
                    <w:right w:w="15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right"/>
              </w:trPr>
              <w:tc>
                <w:tcPr>
                  <w:tcW w:w="401" w:type="dxa"/>
                  <w:tcBorders>
                    <w:top w:val="sing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right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lastRenderedPageBreak/>
              <w:t>ЕГН/ЛН/ЛНЧ/служебен номер от регистъра на НАП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ЕИК по БУЛСТА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Т/ЕИК на търговеца     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Адрес за кореспонденция …………………………………………………………………………..…..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Представлявано от   ……………………………………………………………………………………..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(трите имена на представителя/пълномощника)</w:t>
            </w:r>
          </w:p>
          <w:tbl>
            <w:tblPr>
              <w:tblW w:w="1003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2"/>
              <w:gridCol w:w="332"/>
              <w:gridCol w:w="332"/>
              <w:gridCol w:w="332"/>
              <w:gridCol w:w="7424"/>
              <w:gridCol w:w="276"/>
              <w:gridCol w:w="242"/>
              <w:gridCol w:w="433"/>
              <w:gridCol w:w="332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/>
              </w:trPr>
              <w:tc>
                <w:tcPr>
                  <w:tcW w:w="8752" w:type="dxa"/>
                  <w:gridSpan w:val="5"/>
                  <w:tcBorders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b/>
                      <w:bCs/>
                      <w:sz w:val="24"/>
                      <w:szCs w:val="24"/>
                      <w:highlight w:val="white"/>
                      <w:shd w:val="clear" w:color="auto" w:fill="FEFEFE"/>
                    </w:rPr>
                    <w:t>Заявявам, че внасям осигурителни вноски, които се отнасят за месец</w:t>
                  </w:r>
                </w:p>
              </w:tc>
              <w:tc>
                <w:tcPr>
                  <w:tcW w:w="518" w:type="dxa"/>
                  <w:gridSpan w:val="2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3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/>
              </w:trPr>
              <w:tc>
                <w:tcPr>
                  <w:tcW w:w="33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7424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b/>
                      <w:bCs/>
                      <w:sz w:val="24"/>
                      <w:szCs w:val="24"/>
                      <w:highlight w:val="white"/>
                      <w:shd w:val="clear" w:color="auto" w:fill="FEFEFE"/>
                    </w:rPr>
                    <w:t>година, в следните размери</w:t>
                  </w: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:</w:t>
                  </w:r>
                </w:p>
              </w:tc>
              <w:tc>
                <w:tcPr>
                  <w:tcW w:w="276" w:type="dxa"/>
                  <w:shd w:val="clear" w:color="auto" w:fill="FEFEFE"/>
                  <w:tcMar>
                    <w:top w:w="75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1007" w:type="dxa"/>
                  <w:gridSpan w:val="3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32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7424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276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242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33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6"/>
              <w:gridCol w:w="7225"/>
              <w:gridCol w:w="1723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3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1.</w:t>
                  </w:r>
                </w:p>
              </w:tc>
              <w:tc>
                <w:tcPr>
                  <w:tcW w:w="722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ДОО</w:t>
                  </w:r>
                </w:p>
              </w:tc>
              <w:tc>
                <w:tcPr>
                  <w:tcW w:w="172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right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лв.</w:t>
                  </w:r>
                </w:p>
              </w:tc>
            </w:tr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39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2.</w:t>
                  </w:r>
                </w:p>
              </w:tc>
              <w:tc>
                <w:tcPr>
                  <w:tcW w:w="722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Учителски пенсионен фонд</w:t>
                  </w:r>
                </w:p>
              </w:tc>
              <w:tc>
                <w:tcPr>
                  <w:tcW w:w="172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right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лв.</w:t>
                  </w:r>
                </w:p>
              </w:tc>
            </w:tr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39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3.</w:t>
                  </w:r>
                </w:p>
              </w:tc>
              <w:tc>
                <w:tcPr>
                  <w:tcW w:w="722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Дължими вноски за ДЗПО - Универсален пенсионен фонд</w:t>
                  </w:r>
                </w:p>
              </w:tc>
              <w:tc>
                <w:tcPr>
                  <w:tcW w:w="172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right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лв.</w:t>
                  </w:r>
                </w:p>
              </w:tc>
            </w:tr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39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4.</w:t>
                  </w:r>
                </w:p>
              </w:tc>
              <w:tc>
                <w:tcPr>
                  <w:tcW w:w="722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Дължими вноски за ДЗПО - Професионален пенсионен фонд</w:t>
                  </w:r>
                </w:p>
              </w:tc>
              <w:tc>
                <w:tcPr>
                  <w:tcW w:w="172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right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лв.</w:t>
                  </w:r>
                </w:p>
              </w:tc>
            </w:tr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39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5.</w:t>
                  </w:r>
                </w:p>
              </w:tc>
              <w:tc>
                <w:tcPr>
                  <w:tcW w:w="722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Дължими вноски за здрав</w:t>
                  </w: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но осигуряване</w:t>
                  </w:r>
                </w:p>
              </w:tc>
              <w:tc>
                <w:tcPr>
                  <w:tcW w:w="172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right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лв.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Дата на възникване на задължението за внасяне на осигурителните вноски: ________ г.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Дата: …………………..                                                                         Подпис: ......................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                              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                                                                                                      </w:t>
            </w: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(печат)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Заявлението се подава на основание чл. 4, ал. 3 от Наредбата за реда за избор на осигуряване, внасяне и разпределяне на задължителните осигурителн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и вноски, вноските за Фонд "Гарантирани вземания на работниците и служителите" и за обмен на информация с изключение на лицата по чл. 40, ал. 5 ЗЗО, които внасят задължителни осигурителни вноски, отнасящи се за периоди преди 2005 г.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</w:tbl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br/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br/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 №</w:t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 към чл. 4, ал. 4</w:t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(Изм. - ДВ, бр. 28 от 2017 г., в сила от 01.05.2017 г.)</w:t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tbl>
      <w:tblPr>
        <w:tblW w:w="121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150"/>
      </w:tblGrid>
      <w:tr w:rsidR="00000000" w:rsidRPr="005244BD">
        <w:tblPrEx>
          <w:tblCellMar>
            <w:top w:w="0" w:type="dxa"/>
            <w:bottom w:w="0" w:type="dxa"/>
          </w:tblCellMar>
        </w:tblPrEx>
        <w:tc>
          <w:tcPr>
            <w:tcW w:w="121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tbl>
            <w:tblPr>
              <w:tblW w:w="1095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8"/>
              <w:gridCol w:w="8002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9"/>
              </w:trPr>
              <w:tc>
                <w:tcPr>
                  <w:tcW w:w="2948" w:type="dxa"/>
                  <w:shd w:val="clear" w:color="auto" w:fill="FEFEFE"/>
                  <w:vAlign w:val="center"/>
                </w:tcPr>
                <w:p w:rsidR="00000000" w:rsidRPr="005244BD" w:rsidRDefault="00F4532C">
                  <w:pPr>
                    <w:spacing w:before="100" w:beforeAutospacing="1" w:after="100" w:afterAutospacing="1" w:line="269" w:lineRule="atLeast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>
                    <w:rPr>
                      <w:rFonts w:eastAsia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66850" cy="1657350"/>
                        <wp:effectExtent l="0" t="0" r="0" b="0"/>
                        <wp:docPr id="86" name="Picture 86" descr="C:\Users\nikolay.aleksiev\AppData\Local\Ciela Norma AD\Ciela51\Cache\38384479a9e2664a66afbeac1b1edd3b2ec6d72a723044197674bc0d2f6e2fcd_normi2136601687\18_2211030_tempimage3770287da6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C:\Users\nikolay.aleksiev\AppData\Local\Ciela Norma AD\Ciela51\Cache\38384479a9e2664a66afbeac1b1edd3b2ec6d72a723044197674bc0d2f6e2fcd_normi2136601687\18_2211030_tempimage3770287da6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1657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D65B8"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 xml:space="preserve"> </w:t>
                  </w:r>
                </w:p>
              </w:tc>
              <w:tc>
                <w:tcPr>
                  <w:tcW w:w="8002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b/>
                      <w:bCs/>
                      <w:sz w:val="24"/>
                      <w:szCs w:val="24"/>
                      <w:highlight w:val="white"/>
                      <w:shd w:val="clear" w:color="auto" w:fill="FEFEFE"/>
                    </w:rPr>
                    <w:t>НАЦИОНАЛНА АГЕНЦИЯ ЗА ПРИХОДИТЕ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Териториална дирекция ..........................</w:t>
                  </w: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............................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Офис .....................................................</w:t>
                  </w:r>
                </w:p>
                <w:tbl>
                  <w:tblPr>
                    <w:tblW w:w="5175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99"/>
                    <w:gridCol w:w="398"/>
                    <w:gridCol w:w="398"/>
                    <w:gridCol w:w="398"/>
                    <w:gridCol w:w="398"/>
                    <w:gridCol w:w="398"/>
                    <w:gridCol w:w="398"/>
                    <w:gridCol w:w="398"/>
                    <w:gridCol w:w="398"/>
                    <w:gridCol w:w="398"/>
                    <w:gridCol w:w="398"/>
                    <w:gridCol w:w="398"/>
                    <w:gridCol w:w="398"/>
                  </w:tblGrid>
                  <w:tr w:rsidR="00000000" w:rsidRPr="005244B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right"/>
                    </w:trPr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jc w:val="right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</w:tr>
                </w:tbl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ЕИК по БУЛСТАТ  </w:t>
                  </w:r>
                </w:p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   </w:t>
                  </w:r>
                </w:p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   Пощенски код........, адрес............, телефон.............., факс…….....</w:t>
                  </w:r>
                </w:p>
                <w:p w:rsidR="00000000" w:rsidRPr="005244BD" w:rsidRDefault="005D65B8">
                  <w:pPr>
                    <w:spacing w:before="100" w:beforeAutospacing="1" w:after="100" w:afterAutospacing="1" w:line="269" w:lineRule="atLeast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Вх. № .........../……….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З А Я В Л Е</w:t>
            </w:r>
            <w:r w:rsidRPr="005244BD"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 xml:space="preserve"> Н И Е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по чл. 4, ал. 4 от Наредбата за реда за избор на осигуряване, внасяне и разпределяне на задължителните осигурителни вноски, вноските за Фонд "Гарантирани вземания на работниците и служителите" и за обмен на информация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от ............................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........................................................................................................................................................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(име/наименование на задълженото лице)</w:t>
            </w:r>
          </w:p>
          <w:tbl>
            <w:tblPr>
              <w:tblW w:w="0" w:type="auto"/>
              <w:jc w:val="righ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2"/>
              <w:gridCol w:w="332"/>
              <w:gridCol w:w="332"/>
              <w:gridCol w:w="332"/>
              <w:gridCol w:w="332"/>
              <w:gridCol w:w="332"/>
              <w:gridCol w:w="332"/>
              <w:gridCol w:w="332"/>
              <w:gridCol w:w="332"/>
              <w:gridCol w:w="332"/>
              <w:gridCol w:w="325"/>
              <w:gridCol w:w="325"/>
              <w:gridCol w:w="332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right"/>
              </w:trPr>
              <w:tc>
                <w:tcPr>
                  <w:tcW w:w="33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98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shd w:val="clear" w:color="auto" w:fill="FEFEFE"/>
                  <w:tcMar>
                    <w:left w:w="15" w:type="dxa"/>
                    <w:right w:w="15" w:type="dxa"/>
                  </w:tcMar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right"/>
              </w:trPr>
              <w:tc>
                <w:tcPr>
                  <w:tcW w:w="332" w:type="dxa"/>
                  <w:tcBorders>
                    <w:top w:val="sing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jc w:val="right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25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25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32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ЕГН/ЛН/ЛНЧ/слу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жебен номер от регистъра на НАП     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ЕИК по БУЛСТАТ/ЕИК на търговеца     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Адрес за кореспонденция …………………………………………………………………………………….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Представлявано от ……………………………………………………………………………...…………….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(трите имена на представителя/пълномощника)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lastRenderedPageBreak/>
              <w:t>Заявявам, че: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Желая д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 погася задължението си за допълнително задължително пенсионно осигуряване в универсален пенсионен фонд по реда на чл. 159, ал. 4 от Кодекса за социално осигуряване за съответните месеци и години в следната последователност: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Месец                        Г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одина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3.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4.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5.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6.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Желая да погася задължението си за допълнително задължително пенсионно осигуряване в професионален пенсионен фонд по реда на чл. 159, ал. 4 от Кодекса за социално осигуряване за съответните месеци и години в следната последователнос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т: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Месец                        Година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3.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4.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5.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6.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Дата: …………………..                                                             Подпис: ............................</w:t>
            </w:r>
          </w:p>
          <w:p w:rsidR="00000000" w:rsidRPr="005244BD" w:rsidRDefault="005D65B8">
            <w:pPr>
              <w:spacing w:before="100" w:beforeAutospacing="1" w:after="100" w:afterAutospacing="1"/>
              <w:ind w:right="680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                                                                                     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                                                                        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(печат)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</w:tbl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br/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br/>
      </w: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br/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 № 3 към чл. 4, ал. 5</w:t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(Доп. - ДВ, бр. 5 от 2016 г., в сила от 19.01.2016 г., изм. - ДВ, бр. 28 от 2017 г., в сила от 01.05.2017 г.)</w:t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66"/>
      </w:tblGrid>
      <w:tr w:rsidR="00000000" w:rsidRPr="005244BD">
        <w:tblPrEx>
          <w:tblCellMar>
            <w:top w:w="0" w:type="dxa"/>
            <w:bottom w:w="0" w:type="dxa"/>
          </w:tblCellMar>
        </w:tblPrEx>
        <w:tc>
          <w:tcPr>
            <w:tcW w:w="10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tbl>
            <w:tblPr>
              <w:tblW w:w="1035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1"/>
              <w:gridCol w:w="7469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9"/>
              </w:trPr>
              <w:tc>
                <w:tcPr>
                  <w:tcW w:w="2881" w:type="dxa"/>
                  <w:shd w:val="clear" w:color="auto" w:fill="FEFEFE"/>
                  <w:vAlign w:val="center"/>
                </w:tcPr>
                <w:p w:rsidR="00000000" w:rsidRPr="005244BD" w:rsidRDefault="00F4532C">
                  <w:pPr>
                    <w:spacing w:before="100" w:beforeAutospacing="1" w:after="100" w:afterAutospacing="1" w:line="269" w:lineRule="atLeast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>
                    <w:rPr>
                      <w:rFonts w:eastAsia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66850" cy="1657350"/>
                        <wp:effectExtent l="0" t="0" r="0" b="0"/>
                        <wp:docPr id="87" name="Picture 87" descr="C:\Users\nikolay.aleksiev\AppData\Local\Ciela Norma AD\Ciela51\Cache\38384479a9e2664a66afbeac1b1edd3b2ec6d72a723044197674bc0d2f6e2fcd_normi2136601687\19_31454498_clip_image00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C:\Users\nikolay.aleksiev\AppData\Local\Ciela Norma AD\Ciela51\Cache\38384479a9e2664a66afbeac1b1edd3b2ec6d72a723044197674bc0d2f6e2fcd_normi2136601687\19_31454498_clip_image00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1657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D65B8"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 xml:space="preserve"> </w:t>
                  </w:r>
                </w:p>
              </w:tc>
              <w:tc>
                <w:tcPr>
                  <w:tcW w:w="7469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b/>
                      <w:bCs/>
                      <w:sz w:val="24"/>
                      <w:szCs w:val="24"/>
                      <w:highlight w:val="white"/>
                      <w:shd w:val="clear" w:color="auto" w:fill="FEFEFE"/>
                    </w:rPr>
                    <w:t>НАЦИОНАЛНА АГЕНЦИЯ ЗА ПРИХОДИТЕ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Териториална дирекция ......................................................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Офис .....................................................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  <w:tbl>
                  <w:tblPr>
                    <w:tblW w:w="4410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0"/>
                    <w:gridCol w:w="340"/>
                    <w:gridCol w:w="340"/>
                    <w:gridCol w:w="339"/>
                    <w:gridCol w:w="339"/>
                    <w:gridCol w:w="339"/>
                    <w:gridCol w:w="339"/>
                    <w:gridCol w:w="339"/>
                    <w:gridCol w:w="339"/>
                    <w:gridCol w:w="339"/>
                    <w:gridCol w:w="339"/>
                    <w:gridCol w:w="339"/>
                    <w:gridCol w:w="339"/>
                  </w:tblGrid>
                  <w:tr w:rsidR="00000000" w:rsidRPr="005244B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right"/>
                    </w:trPr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jc w:val="right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</w:tr>
                </w:tbl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ЕИК по БУЛСТАТ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    Пощенски код........, адрес............, телефон.............., факс…….....</w:t>
                  </w:r>
                </w:p>
                <w:p w:rsidR="00000000" w:rsidRPr="005244BD" w:rsidRDefault="005D65B8">
                  <w:pPr>
                    <w:spacing w:before="100" w:beforeAutospacing="1" w:after="100" w:afterAutospacing="1" w:line="269" w:lineRule="atLeast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100" w:afterAutospacing="1" w:line="269" w:lineRule="atLeast"/>
              <w:ind w:firstLine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Вх. № ...........                                                                                                          Дата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.....................</w:t>
            </w:r>
          </w:p>
          <w:p w:rsidR="00000000" w:rsidRPr="005244BD" w:rsidRDefault="005D65B8">
            <w:pPr>
              <w:spacing w:before="113" w:after="100" w:afterAutospacing="1" w:line="269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З А Я В Л Е Н И Е</w:t>
            </w:r>
          </w:p>
          <w:p w:rsidR="00000000" w:rsidRPr="005244BD" w:rsidRDefault="005D65B8">
            <w:pPr>
              <w:spacing w:line="269" w:lineRule="atLeast"/>
              <w:ind w:left="283" w:right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за избор за промяна на осигуряване от допълнително задължително пенсионно осигуряване в универсален пенсионен фонд във Фонд "Пенсии" или съответно във Фонд "Пенсии за лицата по чл. 69 КСО" на държавното обществено о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сигуряване</w:t>
            </w:r>
          </w:p>
          <w:p w:rsidR="00000000" w:rsidRPr="005244BD" w:rsidRDefault="005D65B8">
            <w:pPr>
              <w:spacing w:before="113" w:after="100" w:afterAutospacing="1" w:line="269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от ................................................................................................................................................</w:t>
            </w:r>
          </w:p>
          <w:p w:rsidR="00000000" w:rsidRPr="005244BD" w:rsidRDefault="005D65B8">
            <w:pPr>
              <w:spacing w:before="100" w:beforeAutospacing="1" w:after="57" w:line="269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(имена на осигуреното лице по документ за самоличност)</w:t>
            </w:r>
          </w:p>
          <w:tbl>
            <w:tblPr>
              <w:tblW w:w="459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59"/>
              <w:gridCol w:w="459"/>
              <w:gridCol w:w="459"/>
              <w:gridCol w:w="459"/>
              <w:gridCol w:w="459"/>
              <w:gridCol w:w="459"/>
              <w:gridCol w:w="459"/>
              <w:gridCol w:w="459"/>
              <w:gridCol w:w="459"/>
              <w:gridCol w:w="459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right"/>
              </w:trPr>
              <w:tc>
                <w:tcPr>
                  <w:tcW w:w="4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57" w:line="269" w:lineRule="atLeast"/>
              <w:ind w:firstLine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ЕГН/ЛН/ЛНЧ/служебен н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омер от регистъра на НАП</w:t>
            </w:r>
          </w:p>
          <w:p w:rsidR="00000000" w:rsidRPr="005244BD" w:rsidRDefault="005D65B8">
            <w:pPr>
              <w:spacing w:before="113" w:after="100" w:afterAutospacing="1" w:line="269" w:lineRule="atLeast"/>
              <w:ind w:firstLine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13" w:after="100" w:afterAutospacing="1" w:line="269" w:lineRule="atLeast"/>
              <w:ind w:firstLine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Адрес за кореспонденция ..............................................................................................................</w:t>
            </w:r>
          </w:p>
          <w:p w:rsidR="00000000" w:rsidRPr="005244BD" w:rsidRDefault="005D65B8">
            <w:pPr>
              <w:spacing w:before="113" w:after="100" w:afterAutospacing="1" w:line="269" w:lineRule="atLeast"/>
              <w:ind w:firstLine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Желая да променя осигуряването си от универсален пенсионен фонд във Фонд "Пенсии" или съответн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 във Фонд "Пенсии за лицата по чл. 69 КСО" на държавното обществено осигуряване с увеличена осигурителна вноска с размера на осигурителната вноска за универсален пенсионен фонд и средствата от индивидуалната ми партида в универсален пенсионен фонд да бъда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т прехвърлени в Държавния фонд за гарантиране устойчивост на държавната пенсионна система.</w:t>
            </w:r>
          </w:p>
          <w:p w:rsidR="00000000" w:rsidRPr="005244BD" w:rsidRDefault="005D65B8">
            <w:pPr>
              <w:spacing w:before="113" w:line="269" w:lineRule="atLeast"/>
              <w:ind w:right="283" w:firstLine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Дата: ..............................                                                     Подпис: ....................................................</w:t>
            </w:r>
          </w:p>
          <w:p w:rsidR="00000000" w:rsidRPr="005244BD" w:rsidRDefault="005D65B8">
            <w:pPr>
              <w:spacing w:before="100" w:beforeAutospacing="1" w:after="100" w:afterAutospacing="1" w:line="269" w:lineRule="atLeast"/>
              <w:ind w:right="850" w:firstLine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              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                                                                                                        </w:t>
            </w: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(име, фамилия)</w:t>
            </w:r>
          </w:p>
          <w:p w:rsidR="00000000" w:rsidRPr="005244BD" w:rsidRDefault="005D65B8">
            <w:pPr>
              <w:spacing w:before="113" w:after="100" w:afterAutospacing="1" w:line="269" w:lineRule="atLeast"/>
              <w:ind w:firstLine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*Отнася се за осигурени лица, които са осигурени в универсален пенсионен фонд за 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lastRenderedPageBreak/>
              <w:t>допълнително задължително пенсионно осигуряване.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</w:tbl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br/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 № 4 към чл. 4, ал. 6</w:t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Pr="005244BD" w:rsidRDefault="005D65B8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t>(Изм. - ДВ, бр. 28 от 2017 г., в сила от 01.05.2017 г.)</w:t>
      </w:r>
    </w:p>
    <w:p w:rsidR="00000000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tbl>
      <w:tblPr>
        <w:tblW w:w="109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995"/>
      </w:tblGrid>
      <w:tr w:rsidR="00000000" w:rsidRPr="005244BD">
        <w:tblPrEx>
          <w:tblCellMar>
            <w:top w:w="0" w:type="dxa"/>
            <w:bottom w:w="0" w:type="dxa"/>
          </w:tblCellMar>
        </w:tblPrEx>
        <w:tc>
          <w:tcPr>
            <w:tcW w:w="1115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tbl>
            <w:tblPr>
              <w:tblW w:w="1093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38"/>
              <w:gridCol w:w="7997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9"/>
              </w:trPr>
              <w:tc>
                <w:tcPr>
                  <w:tcW w:w="2938" w:type="dxa"/>
                  <w:shd w:val="clear" w:color="auto" w:fill="FEFEFE"/>
                  <w:vAlign w:val="center"/>
                </w:tcPr>
                <w:p w:rsidR="00000000" w:rsidRPr="005244BD" w:rsidRDefault="00F4532C">
                  <w:pPr>
                    <w:spacing w:before="100" w:beforeAutospacing="1" w:after="100" w:afterAutospacing="1" w:line="269" w:lineRule="atLeast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>
                    <w:rPr>
                      <w:rFonts w:eastAsia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66850" cy="1657350"/>
                        <wp:effectExtent l="0" t="0" r="0" b="0"/>
                        <wp:docPr id="88" name="Picture 88" descr="C:\Users\nikolay.aleksiev\AppData\Local\Ciela Norma AD\Ciela51\Cache\38384479a9e2664a66afbeac1b1edd3b2ec6d72a723044197674bc0d2f6e2fcd_normi2136601687\20_2211030_tempimagefe6e10f85c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C:\Users\nikolay.aleksiev\AppData\Local\Ciela Norma AD\Ciela51\Cache\38384479a9e2664a66afbeac1b1edd3b2ec6d72a723044197674bc0d2f6e2fcd_normi2136601687\20_2211030_tempimagefe6e10f85c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1657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D65B8"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 xml:space="preserve"> </w:t>
                  </w:r>
                </w:p>
              </w:tc>
              <w:tc>
                <w:tcPr>
                  <w:tcW w:w="7997" w:type="dxa"/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b/>
                      <w:bCs/>
                      <w:sz w:val="24"/>
                      <w:szCs w:val="24"/>
                      <w:highlight w:val="white"/>
                      <w:shd w:val="clear" w:color="auto" w:fill="FEFEFE"/>
                    </w:rPr>
                    <w:t>НАЦИОНАЛНА АГЕНЦИЯ ЗА ПРИХОДИТЕ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Териториална дирекция ............</w:t>
                  </w: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..........................................</w:t>
                  </w:r>
                </w:p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Офис .....................................................</w:t>
                  </w:r>
                </w:p>
                <w:tbl>
                  <w:tblPr>
                    <w:tblW w:w="5130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95"/>
                    <w:gridCol w:w="395"/>
                    <w:gridCol w:w="395"/>
                    <w:gridCol w:w="395"/>
                    <w:gridCol w:w="395"/>
                    <w:gridCol w:w="395"/>
                    <w:gridCol w:w="395"/>
                    <w:gridCol w:w="395"/>
                    <w:gridCol w:w="395"/>
                    <w:gridCol w:w="395"/>
                    <w:gridCol w:w="395"/>
                    <w:gridCol w:w="395"/>
                    <w:gridCol w:w="390"/>
                  </w:tblGrid>
                  <w:tr w:rsidR="00000000" w:rsidRPr="005244B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right"/>
                    </w:trPr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jc w:val="right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8" w:space="0" w:color="auto"/>
                          <w:left w:val="single" w:sz="6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EFEFE"/>
                        <w:vAlign w:val="center"/>
                      </w:tcPr>
                      <w:p w:rsidR="00000000" w:rsidRPr="005244BD" w:rsidRDefault="005D65B8">
                        <w:pPr>
                          <w:spacing w:before="100" w:beforeAutospacing="1" w:after="100" w:afterAutospacing="1"/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</w:pPr>
                        <w:r w:rsidRPr="005244BD">
                          <w:rPr>
                            <w:rFonts w:eastAsia="Times New Roman"/>
                            <w:sz w:val="24"/>
                            <w:szCs w:val="24"/>
                            <w:highlight w:val="white"/>
                            <w:shd w:val="clear" w:color="auto" w:fill="FEFEFE"/>
                          </w:rPr>
                          <w:t> </w:t>
                        </w:r>
                      </w:p>
                    </w:tc>
                  </w:tr>
                </w:tbl>
                <w:p w:rsidR="00000000" w:rsidRPr="005244BD" w:rsidRDefault="005D65B8">
                  <w:pPr>
                    <w:spacing w:before="113" w:line="269" w:lineRule="atLeast"/>
                    <w:ind w:right="283" w:firstLine="283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ЕИК по БУЛСТАТ  </w:t>
                  </w:r>
                </w:p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   Пощенски код........, адрес............, телефон.............., факс…….....</w:t>
                  </w:r>
                </w:p>
                <w:p w:rsidR="00000000" w:rsidRPr="005244BD" w:rsidRDefault="005D65B8">
                  <w:pPr>
                    <w:spacing w:before="100" w:beforeAutospacing="1" w:after="100" w:afterAutospacing="1" w:line="269" w:lineRule="atLeast"/>
                    <w:jc w:val="both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100" w:afterAutospacing="1" w:line="269" w:lineRule="atLeast"/>
              <w:ind w:firstLine="283"/>
              <w:jc w:val="both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Вх. № ...........        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                                                                                                 Дата .....................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З А Я В Л Е Н И Е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за избор за промяна на осигуряване от допълнително задължително пенсионно осигуряване в професионален</w:t>
            </w:r>
            <w:bookmarkStart w:id="0" w:name="_GoBack"/>
            <w:bookmarkEnd w:id="0"/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пенсионен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фонд във Фонд "Пенсии" на държавното обществено осигуряване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от ................................................................................................................................................................................</w:t>
            </w:r>
          </w:p>
          <w:p w:rsidR="00000000" w:rsidRPr="005244BD" w:rsidRDefault="005D65B8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(имена на осигу</w:t>
            </w: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реното лице по документ за самоличност)</w:t>
            </w:r>
          </w:p>
          <w:tbl>
            <w:tblPr>
              <w:tblW w:w="472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2"/>
              <w:gridCol w:w="472"/>
              <w:gridCol w:w="472"/>
              <w:gridCol w:w="472"/>
              <w:gridCol w:w="472"/>
              <w:gridCol w:w="473"/>
              <w:gridCol w:w="473"/>
              <w:gridCol w:w="473"/>
              <w:gridCol w:w="473"/>
              <w:gridCol w:w="473"/>
            </w:tblGrid>
            <w:tr w:rsidR="00000000" w:rsidRPr="005244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right"/>
              </w:trPr>
              <w:tc>
                <w:tcPr>
                  <w:tcW w:w="47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000000" w:rsidRPr="005244BD" w:rsidRDefault="005D65B8">
                  <w:pPr>
                    <w:spacing w:before="100" w:beforeAutospacing="1" w:after="100" w:afterAutospacing="1"/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</w:pPr>
                  <w:r w:rsidRPr="005244BD">
                    <w:rPr>
                      <w:rFonts w:eastAsia="Times New Roman"/>
                      <w:sz w:val="24"/>
                      <w:szCs w:val="24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ЕГН/ЛН/ЛНЧ/служебен номер от регистъра на НАП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Адрес за кореспонденция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......................................................................................................................................</w:t>
            </w:r>
          </w:p>
          <w:p w:rsidR="00000000" w:rsidRPr="005244BD" w:rsidRDefault="005D65B8">
            <w:pPr>
              <w:spacing w:before="113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Желая да променя осигуряването си от професионален пенсионен фонд във Фонд "Пенсии" с увеличена 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lastRenderedPageBreak/>
              <w:t>осигурителна вноска в ра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змера на осигурителните вноски по чл. 157, ал. 1, т. 2, буква "а", съответно по чл. 157, ал. 1, т. 2, буква "б" КСО, и средствата от индивидуалната ми партида в професионален пенсионен фонд да бъдат прехвърлени във Фонд "Пенсии" на държавното обществено ос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игуряване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Дата: ................                                                                                           Подпис: ...................................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                                                                                      </w:t>
            </w: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                                                </w:t>
            </w:r>
            <w:r w:rsidRPr="005244BD">
              <w:rPr>
                <w:rFonts w:eastAsia="Times New Roman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(име, фамилия)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*Отнася се за осигурени лица, които са осигурени в универсален пенсионен фонд за допълнително задължително пенсионно осигуряване.</w:t>
            </w:r>
          </w:p>
          <w:p w:rsidR="00000000" w:rsidRPr="005244BD" w:rsidRDefault="005D65B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244BD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</w:tbl>
    <w:p w:rsidR="005D65B8" w:rsidRPr="005244BD" w:rsidRDefault="005D65B8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244BD"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br/>
      </w:r>
    </w:p>
    <w:sectPr w:rsidR="005D65B8" w:rsidRPr="005244BD">
      <w:pgSz w:w="12240" w:h="15840"/>
      <w:pgMar w:top="1080" w:right="1080" w:bottom="1080" w:left="108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BD"/>
    <w:rsid w:val="005244BD"/>
    <w:rsid w:val="005D65B8"/>
    <w:rsid w:val="00F4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nikolay.aleksiev\AppData\Local\Ciela%20Norma%20AD\Ciela51\Cache\38384479a9e2664a66afbeac1b1edd3b2ec6d72a723044197674bc0d2f6e2fcd_normi2136601687\20_2211030_tempimagefe6e10f85c2.jpg" TargetMode="External"/><Relationship Id="rId3" Type="http://schemas.openxmlformats.org/officeDocument/2006/relationships/settings" Target="settings.xml"/><Relationship Id="rId7" Type="http://schemas.openxmlformats.org/officeDocument/2006/relationships/image" Target="file:///C:\Users\nikolay.aleksiev\AppData\Local\Ciela%20Norma%20AD\Ciela51\Cache\38384479a9e2664a66afbeac1b1edd3b2ec6d72a723044197674bc0d2f6e2fcd_normi2136601687\19_31454498_clip_image002.p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nikolay.aleksiev\AppData\Local\Ciela%20Norma%20AD\Ciela51\Cache\38384479a9e2664a66afbeac1b1edd3b2ec6d72a723044197674bc0d2f6e2fcd_normi2136601687\18_2211030_tempimage3770287da63.jpg" TargetMode="External"/><Relationship Id="rId5" Type="http://schemas.openxmlformats.org/officeDocument/2006/relationships/image" Target="file:///C:\Users\nikolay.aleksiev\AppData\Local\Ciela%20Norma%20AD\Ciela51\Cache\38384479a9e2664a66afbeac1b1edd3b2ec6d72a723044197674bc0d2f6e2fcd_normi2136601687\17_2211030_tempimage66177672b6a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5140</Words>
  <Characters>29300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Aleksiev</dc:creator>
  <cp:lastModifiedBy>Nikolay Aleksiev</cp:lastModifiedBy>
  <cp:revision>2</cp:revision>
  <dcterms:created xsi:type="dcterms:W3CDTF">2017-04-24T11:30:00Z</dcterms:created>
  <dcterms:modified xsi:type="dcterms:W3CDTF">2017-04-24T11:30:00Z</dcterms:modified>
</cp:coreProperties>
</file>