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31" w:rsidRDefault="00633D31" w:rsidP="002662F5">
      <w:pPr>
        <w:spacing w:after="0" w:line="240" w:lineRule="auto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ab/>
      </w:r>
      <w:r>
        <w:rPr>
          <w:rFonts w:eastAsiaTheme="minorHAnsi"/>
          <w:lang w:val="en-GB" w:eastAsia="en-US"/>
        </w:rPr>
        <w:tab/>
      </w:r>
      <w:r>
        <w:rPr>
          <w:rFonts w:eastAsiaTheme="minorHAnsi"/>
          <w:lang w:val="en-GB" w:eastAsia="en-US"/>
        </w:rPr>
        <w:tab/>
      </w:r>
      <w:r>
        <w:rPr>
          <w:rFonts w:eastAsiaTheme="minorHAnsi"/>
          <w:noProof/>
        </w:rPr>
        <w:drawing>
          <wp:inline distT="0" distB="0" distL="0" distR="0" wp14:anchorId="28A650F9" wp14:editId="0F7D1DC0">
            <wp:extent cx="3397250" cy="1555750"/>
            <wp:effectExtent l="0" t="0" r="0" b="6350"/>
            <wp:docPr id="1" name="Picture 1" descr="SEECP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CP лог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val="en-GB" w:eastAsia="en-US"/>
        </w:rPr>
        <w:tab/>
      </w:r>
    </w:p>
    <w:p w:rsidR="00633D31" w:rsidRPr="00B375B9" w:rsidRDefault="00633D31" w:rsidP="002662F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633D31" w:rsidRDefault="00633D31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7B23" w:rsidRP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B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BULGARIAN CHAIRMANSHIP-IN-OFFICE </w:t>
      </w:r>
    </w:p>
    <w:p w:rsid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FA7B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OF THE SOUTH-EAST EUROPEAN COOPERATION PROCESS</w:t>
      </w:r>
    </w:p>
    <w:p w:rsidR="008E620B" w:rsidRPr="008E620B" w:rsidRDefault="008E620B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(SEECP)</w:t>
      </w:r>
    </w:p>
    <w:p w:rsidR="00FA7B23" w:rsidRP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B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/2015-2016/</w:t>
      </w:r>
    </w:p>
    <w:p w:rsidR="00FA7B23" w:rsidRP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7B23" w:rsidRP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40"/>
          <w:szCs w:val="40"/>
          <w:lang w:val="en-GB" w:eastAsia="en-US"/>
        </w:rPr>
      </w:pPr>
      <w:r w:rsidRPr="00FA7B23">
        <w:rPr>
          <w:rFonts w:ascii="Times New Roman" w:eastAsiaTheme="minorHAnsi" w:hAnsi="Times New Roman" w:cs="Times New Roman"/>
          <w:b/>
          <w:sz w:val="40"/>
          <w:szCs w:val="40"/>
          <w:lang w:val="en-GB" w:eastAsia="en-US"/>
        </w:rPr>
        <w:t>JOINT DECLARATION</w:t>
      </w:r>
    </w:p>
    <w:p w:rsidR="00FA7B23" w:rsidRP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</w:pPr>
      <w:proofErr w:type="gramStart"/>
      <w:r w:rsidRPr="00FA7B23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>by</w:t>
      </w:r>
      <w:proofErr w:type="gramEnd"/>
      <w:r w:rsidRPr="00FA7B23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 xml:space="preserve"> Ministers</w:t>
      </w:r>
      <w:r w:rsidR="0047309D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 xml:space="preserve"> </w:t>
      </w:r>
      <w:r w:rsidRPr="00FA7B23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>in charge of labour and social policies</w:t>
      </w:r>
      <w:r w:rsidR="0047309D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 xml:space="preserve"> </w:t>
      </w:r>
      <w:r w:rsidRPr="00FA7B23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 xml:space="preserve">of the SEECP Participants at the International Conference </w:t>
      </w:r>
    </w:p>
    <w:p w:rsidR="00FA7B23" w:rsidRPr="00FA7B23" w:rsidRDefault="00FA7B2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</w:pPr>
      <w:r w:rsidRPr="00FA7B23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>“</w:t>
      </w:r>
      <w:r w:rsidR="00566937" w:rsidRPr="00566937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>Facing the demographic challenges experienced by the SEECP participants</w:t>
      </w:r>
      <w:r w:rsidRPr="00FA7B23">
        <w:rPr>
          <w:rFonts w:ascii="Times New Roman" w:eastAsiaTheme="minorHAnsi" w:hAnsi="Times New Roman" w:cs="Times New Roman"/>
          <w:b/>
          <w:sz w:val="28"/>
          <w:szCs w:val="28"/>
          <w:lang w:val="en-GB" w:eastAsia="en-US"/>
        </w:rPr>
        <w:t>”</w:t>
      </w:r>
    </w:p>
    <w:p w:rsidR="00411500" w:rsidRDefault="00411500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</w:p>
    <w:p w:rsidR="003C71F3" w:rsidRDefault="00F30BCE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12-13</w:t>
      </w:r>
      <w:r w:rsidRPr="00780748">
        <w:rPr>
          <w:rFonts w:ascii="Times New Roman" w:eastAsiaTheme="minorHAnsi" w:hAnsi="Times New Roman" w:cs="Times New Roman"/>
          <w:b/>
          <w:sz w:val="28"/>
          <w:szCs w:val="28"/>
          <w:vertAlign w:val="superscript"/>
          <w:lang w:val="en-US" w:eastAsia="en-US"/>
        </w:rPr>
        <w:t>th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 xml:space="preserve"> </w:t>
      </w:r>
      <w:r w:rsidR="00FA7B23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 xml:space="preserve">May </w:t>
      </w:r>
      <w:r w:rsidR="00633D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2016</w:t>
      </w:r>
    </w:p>
    <w:p w:rsidR="00FA7B23" w:rsidRPr="00FA7B23" w:rsidRDefault="003C71F3" w:rsidP="00266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 xml:space="preserve"> </w:t>
      </w:r>
      <w:r w:rsidR="00FA7B23" w:rsidRPr="00FA7B23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Sofia</w:t>
      </w:r>
    </w:p>
    <w:p w:rsidR="00FA7B23" w:rsidRDefault="00FA7B23" w:rsidP="002662F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4C16E9" w:rsidRDefault="004C16E9" w:rsidP="002662F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We, </w:t>
      </w:r>
      <w:r w:rsidR="00CF1CF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Ministers and Heads of Delegations at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International Conference “</w:t>
      </w:r>
      <w:r w:rsidR="008E620B" w:rsidRPr="008E620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Facing t</w:t>
      </w:r>
      <w:r w:rsidR="008E620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he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demographic challenges </w:t>
      </w:r>
      <w:r w:rsidR="00B10C4A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experienced </w:t>
      </w:r>
      <w:r w:rsidR="002F7E8E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by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SEECP participants”, organized under the auspices of the Bulgarian </w:t>
      </w:r>
      <w:r w:rsidR="00CF1CF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hairmanship-in-office of the </w:t>
      </w:r>
      <w:r w:rsidR="008E620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SEECP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/2015-2016/</w:t>
      </w:r>
      <w:r w:rsidR="00CF1CF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,</w:t>
      </w:r>
      <w:r w:rsidR="00CD10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in the presence of</w:t>
      </w:r>
      <w:r w:rsidR="002F44B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high level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representatives of </w:t>
      </w:r>
      <w:r w:rsidR="004E17E2" w:rsidRPr="004E17E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the</w:t>
      </w:r>
      <w:r w:rsidR="00CD10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Regional Coope</w:t>
      </w:r>
      <w:r w:rsidR="002F44B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ration C</w:t>
      </w:r>
      <w:r w:rsidR="00CD10D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ouncil, </w:t>
      </w:r>
      <w:r w:rsidR="002F44B0"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the United Nations Population Fun</w:t>
      </w:r>
      <w:r w:rsidR="009E287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d,</w:t>
      </w:r>
      <w:r w:rsidR="002F44B0"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2F44B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</w:t>
      </w:r>
      <w:r w:rsidR="002F44B0"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United</w:t>
      </w:r>
      <w:r w:rsidR="002F44B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Nations</w:t>
      </w:r>
      <w:r w:rsidR="002F44B0"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Economic Commission for Europe,</w:t>
      </w:r>
      <w:r w:rsidR="002F44B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4E17E2" w:rsidRPr="004E17E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International Labour Office </w:t>
      </w:r>
      <w:r w:rsidR="00CF1CF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and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2F44B0" w:rsidRPr="004E17E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European Commission, 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met in Sofia on</w:t>
      </w:r>
      <w:r w:rsidR="00677284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A5736D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12-13</w:t>
      </w:r>
      <w:r w:rsidR="00A5736D" w:rsidRPr="00677284">
        <w:rPr>
          <w:rFonts w:ascii="Times New Roman" w:eastAsiaTheme="minorHAnsi" w:hAnsi="Times New Roman" w:cs="Times New Roman"/>
          <w:sz w:val="24"/>
          <w:szCs w:val="24"/>
          <w:vertAlign w:val="superscript"/>
          <w:lang w:val="en-GB" w:eastAsia="en-US"/>
        </w:rPr>
        <w:t>th</w:t>
      </w:r>
      <w:r w:rsidR="00A5736D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May 2016 and discussed the management o</w:t>
      </w:r>
      <w:r w:rsidR="008E620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f demographic changes in South-E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astern Europe</w:t>
      </w:r>
      <w:r w:rsidR="00B375B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(SEE)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, labour</w:t>
      </w:r>
      <w:r w:rsidR="00B375B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migration and</w:t>
      </w:r>
      <w:r w:rsidRPr="004C16E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mobility in the region, youth employment, promotion of active ageing, solidarity between generations and transnational cooperation in the region.</w:t>
      </w:r>
    </w:p>
    <w:p w:rsidR="00B375B9" w:rsidRDefault="00B375B9" w:rsidP="002662F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CF1CF9" w:rsidRPr="00B375B9" w:rsidRDefault="00CF1CF9" w:rsidP="002662F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GB" w:eastAsia="en-US"/>
        </w:rPr>
      </w:pPr>
      <w:r w:rsidRPr="00B375B9">
        <w:rPr>
          <w:rFonts w:ascii="Times New Roman" w:eastAsiaTheme="minorHAnsi" w:hAnsi="Times New Roman" w:cs="Times New Roman"/>
          <w:b/>
          <w:sz w:val="24"/>
          <w:szCs w:val="24"/>
          <w:lang w:val="en-GB" w:eastAsia="en-US"/>
        </w:rPr>
        <w:t>In view of the above:</w:t>
      </w:r>
    </w:p>
    <w:p w:rsidR="00411500" w:rsidRPr="004C16E9" w:rsidRDefault="00411500" w:rsidP="002662F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4C16E9" w:rsidRPr="004C16E9" w:rsidRDefault="004C16E9" w:rsidP="002662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C16E9">
        <w:rPr>
          <w:rFonts w:ascii="Times New Roman" w:eastAsia="Calibri" w:hAnsi="Times New Roman" w:cs="Times New Roman"/>
          <w:i/>
          <w:sz w:val="24"/>
          <w:szCs w:val="24"/>
          <w:lang w:val="en-GB" w:eastAsia="en-US"/>
        </w:rPr>
        <w:t>Reiterating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the objective to enhance regional cooperation in various fields as means to establish security, pro</w:t>
      </w:r>
      <w:r w:rsidR="0056693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sperity and stability in</w:t>
      </w:r>
      <w:r w:rsidR="00B375B9" w:rsidRPr="00B375B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CF1CF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SEE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, </w:t>
      </w:r>
      <w:r w:rsidR="0083264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t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hereby improving the attractiveness of the region to other global players and investments</w:t>
      </w:r>
      <w:r w:rsidR="0081742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;</w:t>
      </w:r>
    </w:p>
    <w:p w:rsidR="00633D31" w:rsidRPr="004C16E9" w:rsidRDefault="00633D31" w:rsidP="002662F5">
      <w:pPr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4C16E9" w:rsidRPr="004C16E9" w:rsidRDefault="004C16E9" w:rsidP="005669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C16E9">
        <w:rPr>
          <w:rFonts w:ascii="Times New Roman" w:eastAsia="Calibri" w:hAnsi="Times New Roman" w:cs="Times New Roman"/>
          <w:i/>
          <w:sz w:val="24"/>
          <w:szCs w:val="24"/>
          <w:lang w:val="en-GB" w:eastAsia="en-US"/>
        </w:rPr>
        <w:t>Confirming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the role of the SEECP as </w:t>
      </w:r>
      <w:r w:rsidR="000A758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</w:t>
      </w:r>
      <w:r w:rsidR="000A758C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leading political format for</w:t>
      </w:r>
      <w:r w:rsidR="0056693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regional cooperation in</w:t>
      </w:r>
      <w:r w:rsidR="00CF1CF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SEE</w:t>
      </w:r>
      <w:r w:rsidR="0083264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,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resolved to adhere to the principles of regional ownership and </w:t>
      </w:r>
      <w:r w:rsidR="0056693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compre</w:t>
      </w:r>
      <w:r w:rsidR="00566937" w:rsidRPr="0056693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hensive</w:t>
      </w:r>
      <w:r w:rsidR="00CF1CF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ness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, acting </w:t>
      </w:r>
      <w:r w:rsidR="0083264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as 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good-neighbour</w:t>
      </w:r>
      <w:r w:rsidR="0083264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</w:t>
      </w:r>
      <w:r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to achieve substantial and coherent implementation of regional cooperation</w:t>
      </w:r>
      <w:r w:rsidR="0081742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;</w:t>
      </w:r>
    </w:p>
    <w:p w:rsidR="00633D31" w:rsidRPr="004C16E9" w:rsidRDefault="00633D31" w:rsidP="002662F5">
      <w:pPr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4C16E9" w:rsidRPr="004C16E9" w:rsidRDefault="000A758C" w:rsidP="002662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GB" w:eastAsia="en-US"/>
        </w:rPr>
        <w:t xml:space="preserve">Maintaining 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constructive dialog</w:t>
      </w:r>
      <w:r w:rsidR="00170A92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ue between the SEECP and the Regional Cooperation council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in guiding SEE</w:t>
      </w:r>
      <w:r w:rsidR="00CF1CF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CP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CF1CF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participants 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towards a result-oriented regional cooperation and reinforcing the European</w:t>
      </w:r>
      <w:r w:rsidR="00CF1CF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Union membership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perspective of the</w:t>
      </w:r>
      <w:r w:rsidR="0081742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countries in SEE;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</w:p>
    <w:p w:rsidR="00633D31" w:rsidRPr="004C16E9" w:rsidRDefault="00633D31" w:rsidP="002662F5">
      <w:pPr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4C16E9" w:rsidRDefault="00633D31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FA7B2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 </w:t>
      </w:r>
      <w:r w:rsidR="004C16E9" w:rsidRPr="004C16E9">
        <w:rPr>
          <w:rFonts w:ascii="Times New Roman" w:eastAsia="Calibri" w:hAnsi="Times New Roman" w:cs="Times New Roman"/>
          <w:i/>
          <w:sz w:val="24"/>
          <w:szCs w:val="24"/>
          <w:lang w:val="en-GB" w:eastAsia="en-US"/>
        </w:rPr>
        <w:t>Determined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to safeguard the fundamental freedom</w:t>
      </w:r>
      <w:r w:rsidR="008E74B6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and the essential va</w:t>
      </w:r>
      <w:r w:rsid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lues of democracy, rule of law 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and respect for human rights, as a prerequisite to economic and social progress and a step forward to advancing cooperation </w:t>
      </w:r>
      <w:r w:rsidR="008E620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between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states</w:t>
      </w:r>
      <w:r w:rsidR="0081742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;</w:t>
      </w:r>
      <w:r w:rsidR="004C16E9" w:rsidRPr="004C16E9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</w:p>
    <w:p w:rsidR="002662F5" w:rsidRDefault="002662F5" w:rsidP="002662F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662F5" w:rsidRPr="00411500" w:rsidRDefault="002662F5" w:rsidP="002662F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11500">
        <w:rPr>
          <w:rFonts w:ascii="Times New Roman" w:hAnsi="Times New Roman" w:cs="Times New Roman"/>
          <w:b/>
          <w:sz w:val="24"/>
          <w:szCs w:val="24"/>
          <w:lang w:val="en-GB"/>
        </w:rPr>
        <w:t>Whereas:</w:t>
      </w:r>
    </w:p>
    <w:p w:rsidR="002662F5" w:rsidRPr="002662F5" w:rsidRDefault="002662F5" w:rsidP="002662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B5292C" w:rsidRPr="00B5292C" w:rsidRDefault="00B5292C" w:rsidP="00170A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292C">
        <w:rPr>
          <w:rFonts w:ascii="Times New Roman" w:hAnsi="Times New Roman" w:cs="Times New Roman"/>
          <w:sz w:val="24"/>
          <w:szCs w:val="24"/>
          <w:lang w:val="en-GB"/>
        </w:rPr>
        <w:t xml:space="preserve">The main demographic challenges for most SEECP participants are </w:t>
      </w:r>
      <w:r w:rsidR="00BD0ED2">
        <w:rPr>
          <w:rFonts w:ascii="Times New Roman" w:hAnsi="Times New Roman" w:cs="Times New Roman"/>
          <w:sz w:val="24"/>
          <w:szCs w:val="24"/>
          <w:lang w:val="en-GB"/>
        </w:rPr>
        <w:t xml:space="preserve">associated predominantly </w:t>
      </w:r>
      <w:r w:rsidRPr="00B5292C">
        <w:rPr>
          <w:rFonts w:ascii="Times New Roman" w:hAnsi="Times New Roman" w:cs="Times New Roman"/>
          <w:sz w:val="24"/>
          <w:szCs w:val="24"/>
          <w:lang w:val="en-GB"/>
        </w:rPr>
        <w:t>with long-term trends of decreasing and ag</w:t>
      </w:r>
      <w:r w:rsidR="000144D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B5292C">
        <w:rPr>
          <w:rFonts w:ascii="Times New Roman" w:hAnsi="Times New Roman" w:cs="Times New Roman"/>
          <w:sz w:val="24"/>
          <w:szCs w:val="24"/>
          <w:lang w:val="en-GB"/>
        </w:rPr>
        <w:t xml:space="preserve">ing population and workforce due to changes in the processes of </w:t>
      </w:r>
      <w:r w:rsidR="000144DF">
        <w:rPr>
          <w:rFonts w:ascii="Times New Roman" w:hAnsi="Times New Roman" w:cs="Times New Roman"/>
          <w:sz w:val="24"/>
          <w:szCs w:val="24"/>
          <w:lang w:val="en-GB"/>
        </w:rPr>
        <w:t>fertility</w:t>
      </w:r>
      <w:r w:rsidRPr="00B5292C">
        <w:rPr>
          <w:rFonts w:ascii="Times New Roman" w:hAnsi="Times New Roman" w:cs="Times New Roman"/>
          <w:sz w:val="24"/>
          <w:szCs w:val="24"/>
          <w:lang w:val="en-GB"/>
        </w:rPr>
        <w:t>, mortality and migration.</w:t>
      </w:r>
    </w:p>
    <w:p w:rsidR="002662F5" w:rsidRPr="002662F5" w:rsidRDefault="002662F5" w:rsidP="00B5292C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2662F5" w:rsidRPr="00411500" w:rsidRDefault="002662F5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2662F5">
        <w:rPr>
          <w:rFonts w:ascii="Times New Roman" w:hAnsi="Times New Roman" w:cs="Times New Roman"/>
          <w:sz w:val="24"/>
          <w:szCs w:val="24"/>
          <w:lang w:val="en-GB"/>
        </w:rPr>
        <w:t xml:space="preserve">Demographic challenges and changes affect many areas of economic and social life and have </w:t>
      </w:r>
      <w:r w:rsidR="0083264C">
        <w:rPr>
          <w:rFonts w:ascii="Times New Roman" w:hAnsi="Times New Roman" w:cs="Times New Roman"/>
          <w:sz w:val="24"/>
          <w:szCs w:val="24"/>
          <w:lang w:val="en-GB"/>
        </w:rPr>
        <w:t>significant</w:t>
      </w:r>
      <w:r w:rsidRPr="002662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0ED2">
        <w:rPr>
          <w:rFonts w:ascii="Times New Roman" w:hAnsi="Times New Roman" w:cs="Times New Roman"/>
          <w:sz w:val="24"/>
          <w:szCs w:val="24"/>
          <w:lang w:val="en-GB"/>
        </w:rPr>
        <w:t xml:space="preserve">impact on </w:t>
      </w:r>
      <w:r w:rsidRPr="002662F5">
        <w:rPr>
          <w:rFonts w:ascii="Times New Roman" w:hAnsi="Times New Roman" w:cs="Times New Roman"/>
          <w:sz w:val="24"/>
          <w:szCs w:val="24"/>
          <w:lang w:val="en-GB"/>
        </w:rPr>
        <w:t xml:space="preserve">public finances and the proper functioning of social systems, including the labour market, </w:t>
      </w:r>
      <w:r w:rsidR="00635E0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16538">
        <w:rPr>
          <w:rFonts w:ascii="Times New Roman" w:hAnsi="Times New Roman" w:cs="Times New Roman"/>
          <w:sz w:val="24"/>
          <w:szCs w:val="24"/>
          <w:lang w:val="en-GB"/>
        </w:rPr>
        <w:t>social security</w:t>
      </w:r>
      <w:r w:rsidR="00635E01">
        <w:rPr>
          <w:rFonts w:ascii="Times New Roman" w:hAnsi="Times New Roman" w:cs="Times New Roman"/>
          <w:sz w:val="24"/>
          <w:szCs w:val="24"/>
          <w:lang w:val="en-GB"/>
        </w:rPr>
        <w:t xml:space="preserve"> system</w:t>
      </w:r>
      <w:r w:rsidRPr="002662F5">
        <w:rPr>
          <w:rFonts w:ascii="Times New Roman" w:hAnsi="Times New Roman" w:cs="Times New Roman"/>
          <w:sz w:val="24"/>
          <w:szCs w:val="24"/>
          <w:lang w:val="en-GB"/>
        </w:rPr>
        <w:t>, healthcare</w:t>
      </w:r>
      <w:r w:rsidR="00635E01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Pr="002662F5">
        <w:rPr>
          <w:rFonts w:ascii="Times New Roman" w:hAnsi="Times New Roman" w:cs="Times New Roman"/>
          <w:sz w:val="24"/>
          <w:szCs w:val="24"/>
          <w:lang w:val="en-GB"/>
        </w:rPr>
        <w:t xml:space="preserve"> education</w:t>
      </w:r>
      <w:r w:rsidR="00635E0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11500" w:rsidRPr="00411500" w:rsidRDefault="0041150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2662F5" w:rsidRPr="00411500" w:rsidRDefault="0083264C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Addressing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demographic challenges means providing a better environment </w:t>
      </w:r>
      <w:r>
        <w:rPr>
          <w:rFonts w:ascii="Times New Roman" w:hAnsi="Times New Roman" w:cs="Times New Roman"/>
          <w:sz w:val="24"/>
          <w:szCs w:val="24"/>
          <w:lang w:val="en-GB"/>
        </w:rPr>
        <w:t>for childbirth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raising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and educat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children, achiev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91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better </w:t>
      </w:r>
      <w:r w:rsidR="00B21536">
        <w:rPr>
          <w:rFonts w:ascii="Times New Roman" w:hAnsi="Times New Roman" w:cs="Times New Roman"/>
          <w:sz w:val="24"/>
          <w:szCs w:val="24"/>
          <w:lang w:val="en-GB"/>
        </w:rPr>
        <w:t>level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1536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material well-being, standard of living and quality of life, </w:t>
      </w:r>
      <w:r w:rsidR="00B21536">
        <w:rPr>
          <w:rFonts w:ascii="Times New Roman" w:hAnsi="Times New Roman" w:cs="Times New Roman"/>
          <w:sz w:val="24"/>
          <w:szCs w:val="24"/>
          <w:lang w:val="en-GB"/>
        </w:rPr>
        <w:t>reach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higher productivity, overcom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inequalities, implement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a reasonable and adequate</w:t>
      </w:r>
      <w:r w:rsidR="00B375B9">
        <w:rPr>
          <w:rFonts w:ascii="Times New Roman" w:hAnsi="Times New Roman" w:cs="Times New Roman"/>
          <w:sz w:val="24"/>
          <w:szCs w:val="24"/>
          <w:lang w:val="en-GB"/>
        </w:rPr>
        <w:t xml:space="preserve"> labour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migration policy and mak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full use of the potential for 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>social and economic participation of all groups in societ</w:t>
      </w:r>
      <w:r w:rsidR="008E620B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11500" w:rsidRPr="00411500" w:rsidRDefault="0041150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411500" w:rsidRPr="00411500" w:rsidRDefault="002662F5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Preparation </w:t>
      </w:r>
      <w:r w:rsidR="0092225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demographic challenges is important </w:t>
      </w:r>
      <w:r w:rsidR="00F26282">
        <w:rPr>
          <w:rFonts w:ascii="Times New Roman" w:hAnsi="Times New Roman" w:cs="Times New Roman"/>
          <w:sz w:val="24"/>
          <w:szCs w:val="24"/>
          <w:lang w:val="en-GB"/>
        </w:rPr>
        <w:t>in order to</w:t>
      </w:r>
      <w:r w:rsidR="00922254">
        <w:rPr>
          <w:rFonts w:ascii="Times New Roman" w:hAnsi="Times New Roman" w:cs="Times New Roman"/>
          <w:sz w:val="24"/>
          <w:szCs w:val="24"/>
          <w:lang w:val="en-GB"/>
        </w:rPr>
        <w:t xml:space="preserve"> achieve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sustainable development and inclusive growth, competitive</w:t>
      </w:r>
      <w:r w:rsidR="000B2C0D">
        <w:rPr>
          <w:rFonts w:ascii="Times New Roman" w:hAnsi="Times New Roman" w:cs="Times New Roman"/>
          <w:sz w:val="24"/>
          <w:szCs w:val="24"/>
          <w:lang w:val="en-GB"/>
        </w:rPr>
        <w:t xml:space="preserve"> social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market economy with high levels of </w:t>
      </w:r>
      <w:r w:rsidR="00B375B9">
        <w:rPr>
          <w:rFonts w:ascii="Times New Roman" w:hAnsi="Times New Roman" w:cs="Times New Roman"/>
          <w:sz w:val="24"/>
          <w:szCs w:val="24"/>
          <w:lang w:val="en-GB"/>
        </w:rPr>
        <w:t xml:space="preserve">quality 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employment, social cohesion and solidarity between generations. </w:t>
      </w:r>
    </w:p>
    <w:p w:rsidR="00411500" w:rsidRDefault="00411500" w:rsidP="00411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411500" w:rsidRDefault="00411500" w:rsidP="004115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5292C">
        <w:rPr>
          <w:rFonts w:ascii="Times New Roman" w:hAnsi="Times New Roman" w:cs="Times New Roman"/>
          <w:b/>
          <w:sz w:val="24"/>
          <w:szCs w:val="24"/>
          <w:lang w:val="en-GB"/>
        </w:rPr>
        <w:t>We have agreed on the following:</w:t>
      </w:r>
    </w:p>
    <w:p w:rsidR="00FE7B29" w:rsidRDefault="00FE7B29" w:rsidP="004115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11500" w:rsidRPr="00411500" w:rsidRDefault="00411500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517AF2">
        <w:rPr>
          <w:rFonts w:ascii="Times New Roman" w:hAnsi="Times New Roman" w:cs="Times New Roman"/>
          <w:sz w:val="24"/>
          <w:szCs w:val="24"/>
          <w:lang w:val="en-GB"/>
        </w:rPr>
        <w:t>To adopt a holistic and long-term strategic approach to the management of demographic change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in terms of mutual coordination of all stakeholders - including government institutions at national</w:t>
      </w:r>
      <w:r w:rsidR="0017186F">
        <w:rPr>
          <w:rFonts w:ascii="Times New Roman" w:hAnsi="Times New Roman" w:cs="Times New Roman"/>
          <w:sz w:val="24"/>
          <w:szCs w:val="24"/>
          <w:lang w:val="en-GB"/>
        </w:rPr>
        <w:t>, regional</w:t>
      </w:r>
      <w:r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and local level, social partners, academic and research organisations, civil society</w:t>
      </w:r>
      <w:r w:rsidR="005A675B">
        <w:rPr>
          <w:rFonts w:ascii="Times New Roman" w:hAnsi="Times New Roman" w:cs="Times New Roman"/>
          <w:sz w:val="24"/>
          <w:szCs w:val="24"/>
          <w:lang w:val="en-GB"/>
        </w:rPr>
        <w:t xml:space="preserve"> organisations</w:t>
      </w:r>
      <w:r w:rsidRPr="00517AF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11500" w:rsidRPr="00411500" w:rsidRDefault="0041150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2662F5" w:rsidRPr="00411500" w:rsidRDefault="002662F5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To adopt a positive approach to the demographic challenges </w:t>
      </w:r>
      <w:r w:rsidR="00917374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917374">
        <w:rPr>
          <w:rFonts w:ascii="Times New Roman" w:hAnsi="Times New Roman" w:cs="Times New Roman"/>
          <w:sz w:val="24"/>
          <w:szCs w:val="24"/>
          <w:lang w:val="en-GB"/>
        </w:rPr>
        <w:t>encompasses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9173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>entire life cycle of the individual</w:t>
      </w:r>
      <w:r w:rsidR="0083628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focuses on the </w:t>
      </w:r>
      <w:r w:rsidR="00922254">
        <w:rPr>
          <w:rFonts w:ascii="Times New Roman" w:hAnsi="Times New Roman" w:cs="Times New Roman"/>
          <w:sz w:val="24"/>
          <w:szCs w:val="24"/>
          <w:lang w:val="en-GB"/>
        </w:rPr>
        <w:t xml:space="preserve">use of the 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potential of all generations </w:t>
      </w:r>
      <w:r w:rsidR="00836283">
        <w:rPr>
          <w:rFonts w:ascii="Times New Roman" w:hAnsi="Times New Roman" w:cs="Times New Roman"/>
          <w:sz w:val="24"/>
          <w:szCs w:val="24"/>
          <w:lang w:val="en-GB"/>
        </w:rPr>
        <w:t xml:space="preserve">and promotes 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>solidarity</w:t>
      </w:r>
      <w:r w:rsidR="008651F9">
        <w:rPr>
          <w:rFonts w:ascii="Times New Roman" w:hAnsi="Times New Roman" w:cs="Times New Roman"/>
          <w:sz w:val="24"/>
          <w:szCs w:val="24"/>
        </w:rPr>
        <w:t xml:space="preserve"> </w:t>
      </w:r>
      <w:r w:rsidR="008651F9">
        <w:rPr>
          <w:rFonts w:ascii="Times New Roman" w:hAnsi="Times New Roman" w:cs="Times New Roman"/>
          <w:sz w:val="24"/>
          <w:szCs w:val="24"/>
          <w:lang w:val="en-US"/>
        </w:rPr>
        <w:t>between generations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11500" w:rsidRPr="00411500" w:rsidRDefault="0041150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2662F5" w:rsidRPr="00411500" w:rsidRDefault="002662F5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11500">
        <w:rPr>
          <w:rFonts w:ascii="Times New Roman" w:hAnsi="Times New Roman" w:cs="Times New Roman"/>
          <w:sz w:val="24"/>
          <w:szCs w:val="24"/>
          <w:lang w:val="en-GB"/>
        </w:rPr>
        <w:t>To support initiatives to facilitate transnational dialogue between</w:t>
      </w:r>
      <w:r w:rsidR="00B375B9">
        <w:rPr>
          <w:rFonts w:ascii="Times New Roman" w:hAnsi="Times New Roman" w:cs="Times New Roman"/>
          <w:sz w:val="24"/>
          <w:szCs w:val="24"/>
          <w:lang w:val="en-GB"/>
        </w:rPr>
        <w:t xml:space="preserve"> SEECP participants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that are affected b</w:t>
      </w:r>
      <w:r w:rsidR="008E1F82">
        <w:rPr>
          <w:rFonts w:ascii="Times New Roman" w:hAnsi="Times New Roman" w:cs="Times New Roman"/>
          <w:sz w:val="24"/>
          <w:szCs w:val="24"/>
          <w:lang w:val="en-GB"/>
        </w:rPr>
        <w:t>y current demographic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changes in order to identify </w:t>
      </w:r>
      <w:r w:rsidR="00003D8C">
        <w:rPr>
          <w:rFonts w:ascii="Times New Roman" w:hAnsi="Times New Roman" w:cs="Times New Roman"/>
          <w:sz w:val="24"/>
          <w:szCs w:val="24"/>
          <w:lang w:val="en-GB"/>
        </w:rPr>
        <w:t>common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3D8C">
        <w:rPr>
          <w:rFonts w:ascii="Times New Roman" w:hAnsi="Times New Roman" w:cs="Times New Roman"/>
          <w:sz w:val="24"/>
          <w:szCs w:val="24"/>
          <w:lang w:val="en-GB"/>
        </w:rPr>
        <w:t>activities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>; to achieve effective regulation of</w:t>
      </w:r>
      <w:r w:rsidR="00B375B9">
        <w:rPr>
          <w:rFonts w:ascii="Times New Roman" w:hAnsi="Times New Roman" w:cs="Times New Roman"/>
          <w:sz w:val="24"/>
          <w:szCs w:val="24"/>
          <w:lang w:val="en-GB"/>
        </w:rPr>
        <w:t xml:space="preserve"> labour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migration flows; to establish and maintain areas/regions/cities for sustainable development and inclusive growth.</w:t>
      </w:r>
    </w:p>
    <w:p w:rsidR="00411500" w:rsidRPr="00411500" w:rsidRDefault="0041150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2662F5" w:rsidRPr="00411500" w:rsidRDefault="002662F5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11500">
        <w:rPr>
          <w:rFonts w:ascii="Times New Roman" w:hAnsi="Times New Roman" w:cs="Times New Roman"/>
          <w:sz w:val="24"/>
          <w:szCs w:val="24"/>
          <w:lang w:val="en-GB"/>
        </w:rPr>
        <w:t>To support</w:t>
      </w:r>
      <w:r w:rsidR="00CB4582">
        <w:rPr>
          <w:rFonts w:ascii="Times New Roman" w:hAnsi="Times New Roman" w:cs="Times New Roman"/>
          <w:sz w:val="24"/>
          <w:szCs w:val="24"/>
          <w:lang w:val="en-GB"/>
        </w:rPr>
        <w:t xml:space="preserve"> activities that improve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the quality of human resources and </w:t>
      </w:r>
      <w:r w:rsidR="00CB4582">
        <w:rPr>
          <w:rFonts w:ascii="Times New Roman" w:hAnsi="Times New Roman" w:cs="Times New Roman"/>
          <w:sz w:val="24"/>
          <w:szCs w:val="24"/>
          <w:lang w:val="en-GB"/>
        </w:rPr>
        <w:t>promote labour mobility, education,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training</w:t>
      </w:r>
      <w:r w:rsidR="00CB4582" w:rsidRPr="00CB45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458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CB4582" w:rsidRPr="00411500">
        <w:rPr>
          <w:rFonts w:ascii="Times New Roman" w:hAnsi="Times New Roman" w:cs="Times New Roman"/>
          <w:sz w:val="24"/>
          <w:szCs w:val="24"/>
          <w:lang w:val="en-GB"/>
        </w:rPr>
        <w:t>retraining</w:t>
      </w:r>
      <w:r w:rsidR="00CB4582">
        <w:rPr>
          <w:rFonts w:ascii="Times New Roman" w:hAnsi="Times New Roman" w:cs="Times New Roman"/>
          <w:sz w:val="24"/>
          <w:szCs w:val="24"/>
          <w:lang w:val="en-GB"/>
        </w:rPr>
        <w:t>, enhance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knowle</w:t>
      </w:r>
      <w:r w:rsidR="00CB4582">
        <w:rPr>
          <w:rFonts w:ascii="Times New Roman" w:hAnsi="Times New Roman" w:cs="Times New Roman"/>
          <w:sz w:val="24"/>
          <w:szCs w:val="24"/>
          <w:lang w:val="en-GB"/>
        </w:rPr>
        <w:t>dge, qualification and skills</w:t>
      </w:r>
      <w:r w:rsidR="00286101">
        <w:rPr>
          <w:rFonts w:ascii="Times New Roman" w:hAnsi="Times New Roman" w:cs="Times New Roman"/>
          <w:sz w:val="24"/>
          <w:szCs w:val="24"/>
          <w:lang w:val="en-GB"/>
        </w:rPr>
        <w:t>; provide</w:t>
      </w:r>
      <w:r w:rsidR="00CB45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lifelong learning, etc. </w:t>
      </w:r>
    </w:p>
    <w:p w:rsidR="00411500" w:rsidRPr="00411500" w:rsidRDefault="0041150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2662F5" w:rsidRPr="00A821B7" w:rsidRDefault="002662F5" w:rsidP="006615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11500">
        <w:rPr>
          <w:rFonts w:ascii="Times New Roman" w:hAnsi="Times New Roman" w:cs="Times New Roman"/>
          <w:sz w:val="24"/>
          <w:szCs w:val="24"/>
          <w:lang w:val="en-GB"/>
        </w:rPr>
        <w:t>To support initiatives related to job creation and raising the level of</w:t>
      </w:r>
      <w:r w:rsidR="005A675B">
        <w:rPr>
          <w:rFonts w:ascii="Times New Roman" w:hAnsi="Times New Roman" w:cs="Times New Roman"/>
          <w:sz w:val="24"/>
          <w:szCs w:val="24"/>
          <w:lang w:val="en-GB"/>
        </w:rPr>
        <w:t xml:space="preserve"> quality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employment for all citizens, poverty reduction, </w:t>
      </w:r>
      <w:r w:rsidR="00411500">
        <w:rPr>
          <w:rFonts w:ascii="Times New Roman" w:hAnsi="Times New Roman" w:cs="Times New Roman"/>
          <w:sz w:val="24"/>
          <w:szCs w:val="24"/>
          <w:lang w:val="en-GB"/>
        </w:rPr>
        <w:t>prevention of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undeclared work, modernisation of labour market</w:t>
      </w:r>
      <w:r w:rsidR="005A675B">
        <w:rPr>
          <w:rFonts w:ascii="Times New Roman" w:hAnsi="Times New Roman" w:cs="Times New Roman"/>
          <w:sz w:val="24"/>
          <w:szCs w:val="24"/>
          <w:lang w:val="en-GB"/>
        </w:rPr>
        <w:t xml:space="preserve"> institutions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615A4" w:rsidRPr="006615A4">
        <w:rPr>
          <w:rFonts w:ascii="Times New Roman" w:hAnsi="Times New Roman" w:cs="Times New Roman"/>
          <w:sz w:val="24"/>
          <w:szCs w:val="24"/>
          <w:lang w:val="en-GB"/>
        </w:rPr>
        <w:t>overcoming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inequalities and improving access to the labour market.</w:t>
      </w:r>
    </w:p>
    <w:p w:rsidR="00A821B7" w:rsidRPr="00411500" w:rsidRDefault="00A821B7" w:rsidP="00A821B7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411500" w:rsidRPr="000F6EDD" w:rsidRDefault="002662F5" w:rsidP="000F6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411500">
        <w:rPr>
          <w:rFonts w:ascii="Times New Roman" w:hAnsi="Times New Roman" w:cs="Times New Roman"/>
          <w:sz w:val="24"/>
          <w:szCs w:val="24"/>
          <w:lang w:val="en-GB"/>
        </w:rPr>
        <w:t>To support and promote</w:t>
      </w:r>
      <w:r w:rsidR="005A675B">
        <w:rPr>
          <w:rFonts w:ascii="Times New Roman" w:hAnsi="Times New Roman" w:cs="Times New Roman"/>
          <w:sz w:val="24"/>
          <w:szCs w:val="24"/>
          <w:lang w:val="en-GB"/>
        </w:rPr>
        <w:t xml:space="preserve"> quality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youth employment and active and independent living of the elderly 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DA7180">
        <w:rPr>
          <w:rFonts w:ascii="Times New Roman" w:hAnsi="Times New Roman" w:cs="Times New Roman"/>
          <w:sz w:val="24"/>
          <w:szCs w:val="24"/>
          <w:lang w:val="en-GB"/>
        </w:rPr>
        <w:t xml:space="preserve"> people with disabilities</w:t>
      </w:r>
      <w:r w:rsidR="00355C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>and improv</w:t>
      </w:r>
      <w:r w:rsidR="00DA718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the opportunities for equal access and participation in the labour market, social services and care, volunteering, reconciling professional and</w:t>
      </w:r>
      <w:r w:rsidR="005A675B">
        <w:rPr>
          <w:rFonts w:ascii="Times New Roman" w:hAnsi="Times New Roman" w:cs="Times New Roman"/>
          <w:sz w:val="24"/>
          <w:szCs w:val="24"/>
          <w:lang w:val="en-GB"/>
        </w:rPr>
        <w:t xml:space="preserve"> family/</w:t>
      </w:r>
      <w:r w:rsidR="008651F9">
        <w:rPr>
          <w:rFonts w:ascii="Times New Roman" w:hAnsi="Times New Roman" w:cs="Times New Roman"/>
          <w:sz w:val="24"/>
          <w:szCs w:val="24"/>
          <w:lang w:val="en-GB"/>
        </w:rPr>
        <w:t>private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life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; and</w:t>
      </w:r>
      <w:r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transfer of knowledge and skills between generations.</w:t>
      </w:r>
      <w:bookmarkStart w:id="0" w:name="_GoBack"/>
      <w:bookmarkEnd w:id="0"/>
    </w:p>
    <w:p w:rsidR="005A675B" w:rsidRDefault="005A675B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 w:eastAsia="en-US"/>
        </w:rPr>
        <w:lastRenderedPageBreak/>
        <w:t>We take commitment to:</w:t>
      </w:r>
    </w:p>
    <w:p w:rsidR="00767010" w:rsidRPr="00B375B9" w:rsidRDefault="00767010" w:rsidP="0041150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US"/>
        </w:rPr>
      </w:pPr>
    </w:p>
    <w:p w:rsidR="00DA7180" w:rsidRPr="00DA7180" w:rsidRDefault="005A675B" w:rsidP="00266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upport measures for specific training </w:t>
      </w:r>
      <w:r w:rsidR="00455CE5">
        <w:rPr>
          <w:rFonts w:ascii="Times New Roman" w:hAnsi="Times New Roman" w:cs="Times New Roman"/>
          <w:sz w:val="24"/>
          <w:szCs w:val="24"/>
          <w:lang w:val="en-GB"/>
        </w:rPr>
        <w:t xml:space="preserve">in demographic policy design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 xml:space="preserve"> build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>administrative capacity needed to properly address demographic challenges in terms of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joint coordination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exchanges of experience and </w:t>
      </w:r>
      <w:r w:rsidR="00752D79">
        <w:rPr>
          <w:rFonts w:ascii="Times New Roman" w:hAnsi="Times New Roman" w:cs="Times New Roman"/>
          <w:sz w:val="24"/>
          <w:szCs w:val="24"/>
          <w:lang w:val="en-GB"/>
        </w:rPr>
        <w:t>good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practice</w:t>
      </w:r>
      <w:r w:rsidR="0016198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>transfer of knowledge and know-how to meet demographic challenges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:rsidR="002662F5" w:rsidRPr="00BB3F4D" w:rsidRDefault="00DD54CD" w:rsidP="00DA7180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This may be accomplished by:</w:t>
      </w:r>
      <w:r w:rsidR="002662F5" w:rsidRPr="004115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662F5" w:rsidRPr="00517AF2" w:rsidRDefault="00DD54CD" w:rsidP="00DD54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a)  Creating</w:t>
      </w:r>
      <w:r w:rsidR="00BD0E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a long-term vision for balanced development of population and 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>creati</w:t>
      </w:r>
      <w:r>
        <w:rPr>
          <w:rFonts w:ascii="Times New Roman" w:hAnsi="Times New Roman" w:cs="Times New Roman"/>
          <w:sz w:val="24"/>
          <w:szCs w:val="24"/>
          <w:lang w:val="en-GB"/>
        </w:rPr>
        <w:t>on of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a transnational regional mechanism to monitor </w:t>
      </w:r>
      <w:r w:rsidR="005A675B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labour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migration</w:t>
      </w:r>
      <w:r w:rsidR="005A675B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mobility, sustainable development of regions and cities and reduction of inter-regional disparities;</w:t>
      </w:r>
    </w:p>
    <w:p w:rsidR="002662F5" w:rsidRDefault="00DD54CD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  D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eveloping and participating in transnational projects and project activities funded within the framework of sustainable initiatives</w:t>
      </w:r>
      <w:r w:rsidR="0076701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programmes</w:t>
      </w:r>
      <w:r w:rsidR="00767010">
        <w:rPr>
          <w:rFonts w:ascii="Times New Roman" w:hAnsi="Times New Roman" w:cs="Times New Roman"/>
          <w:sz w:val="24"/>
          <w:szCs w:val="24"/>
          <w:lang w:val="en-GB"/>
        </w:rPr>
        <w:t>, funds and other financial instruments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of the European Union, the United Nations</w:t>
      </w:r>
      <w:r w:rsidR="009A29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the United Nations Population Fund and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 xml:space="preserve"> other bodies and organisations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9A298C" w:rsidRPr="009A298C" w:rsidRDefault="009A298C" w:rsidP="009A29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298C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Pr="009A298C">
        <w:rPr>
          <w:rFonts w:ascii="Calibri" w:eastAsiaTheme="minorHAnsi" w:hAnsi="Calibri" w:cs="Times New Roman"/>
          <w:color w:val="1F497D"/>
          <w:lang w:val="en-GB" w:eastAsia="en-US"/>
        </w:rPr>
        <w:t xml:space="preserve"> </w:t>
      </w:r>
      <w:r w:rsidRPr="009A298C">
        <w:rPr>
          <w:rFonts w:ascii="Times New Roman" w:hAnsi="Times New Roman" w:cs="Times New Roman"/>
          <w:sz w:val="24"/>
          <w:szCs w:val="24"/>
          <w:lang w:val="en-GB"/>
        </w:rPr>
        <w:t xml:space="preserve">Developing cooperation in relevant fields with international agencies such as the International Labour Organization </w:t>
      </w:r>
      <w:r w:rsidRPr="009A298C">
        <w:rPr>
          <w:rFonts w:ascii="Times New Roman" w:hAnsi="Times New Roman" w:cs="Times New Roman"/>
          <w:sz w:val="24"/>
          <w:szCs w:val="24"/>
          <w:lang w:val="en-US"/>
        </w:rPr>
        <w:t>and other organizations;</w:t>
      </w:r>
    </w:p>
    <w:p w:rsidR="002662F5" w:rsidRPr="00517AF2" w:rsidRDefault="009A298C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)  B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uilding and maintaining a transnational network of high-level 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 xml:space="preserve">experts for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long-term cooperation 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exchange of experiences and </w:t>
      </w:r>
      <w:r w:rsidR="00752D79">
        <w:rPr>
          <w:rFonts w:ascii="Times New Roman" w:hAnsi="Times New Roman" w:cs="Times New Roman"/>
          <w:sz w:val="24"/>
          <w:szCs w:val="24"/>
          <w:lang w:val="en-GB"/>
        </w:rPr>
        <w:t>good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practices to meet the demographic challenge</w:t>
      </w:r>
      <w:r w:rsidR="00752D7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and encourage the development of labour markets and labour </w:t>
      </w:r>
      <w:r w:rsidR="00214487">
        <w:rPr>
          <w:rFonts w:ascii="Times New Roman" w:hAnsi="Times New Roman" w:cs="Times New Roman"/>
          <w:sz w:val="24"/>
          <w:szCs w:val="24"/>
          <w:lang w:val="en-GB"/>
        </w:rPr>
        <w:t>migration/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mobility for sustainable development and growth;</w:t>
      </w:r>
    </w:p>
    <w:p w:rsidR="002662F5" w:rsidRPr="00517AF2" w:rsidRDefault="009A298C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) E</w:t>
      </w:r>
      <w:r w:rsidR="00BD0ED2">
        <w:rPr>
          <w:rFonts w:ascii="Times New Roman" w:hAnsi="Times New Roman" w:cs="Times New Roman"/>
          <w:sz w:val="24"/>
          <w:szCs w:val="24"/>
          <w:lang w:val="en-GB"/>
        </w:rPr>
        <w:t xml:space="preserve">stablishing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and maintaining a web-based platform for information, communication and knowledge sharing on the state</w:t>
      </w:r>
      <w:r w:rsidR="002F436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the movement of population and the labour force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 xml:space="preserve"> in the</w:t>
      </w:r>
      <w:r w:rsidR="007670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4487">
        <w:rPr>
          <w:rFonts w:ascii="Times New Roman" w:hAnsi="Times New Roman" w:cs="Times New Roman"/>
          <w:sz w:val="24"/>
          <w:szCs w:val="24"/>
          <w:lang w:val="en-GB"/>
        </w:rPr>
        <w:t>region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2662F5" w:rsidRPr="00517AF2" w:rsidRDefault="009A298C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) 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ynchronising and improving statistics on the regional impact of demographic change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and population movement by collecting and systematising existing knowledge on demographic change</w:t>
      </w:r>
      <w:r w:rsidR="00676AA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and migration, as well as their potential effects on human capital and sustainable development of regions and cities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2662F5" w:rsidRPr="00517AF2" w:rsidRDefault="009A298C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DD54C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 xml:space="preserve"> D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eveloping 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and implementing 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modular 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training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programme for exchange 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>of experience and good practice</w:t>
      </w:r>
      <w:r w:rsidR="0016198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15A4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Management of demographic change</w:t>
      </w:r>
      <w:r w:rsidR="00676AA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and workforce development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” and organizing </w:t>
      </w:r>
      <w:r w:rsidR="00BB3F4D" w:rsidRPr="00BB3F4D">
        <w:rPr>
          <w:rFonts w:ascii="Times New Roman" w:hAnsi="Times New Roman" w:cs="Times New Roman"/>
          <w:sz w:val="24"/>
          <w:szCs w:val="24"/>
          <w:lang w:val="en-GB"/>
        </w:rPr>
        <w:t>other events and initiatives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>that will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 xml:space="preserve"> maintain and enhance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the capacity of public administrations to manage demographic change</w:t>
      </w:r>
      <w:r w:rsidR="00676AA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>which includes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involvement of </w:t>
      </w:r>
      <w:r w:rsidR="00F441D0">
        <w:rPr>
          <w:rFonts w:ascii="Times New Roman" w:hAnsi="Times New Roman" w:cs="Times New Roman"/>
          <w:sz w:val="24"/>
          <w:szCs w:val="24"/>
          <w:lang w:val="en-GB"/>
        </w:rPr>
        <w:t xml:space="preserve">eminent 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>speakers and practitioners from different countries through the specialised Centre for Human Resources Development and Regional Initiati</w:t>
      </w:r>
      <w:r w:rsidR="003E0814">
        <w:rPr>
          <w:rFonts w:ascii="Times New Roman" w:hAnsi="Times New Roman" w:cs="Times New Roman"/>
          <w:sz w:val="24"/>
          <w:szCs w:val="24"/>
          <w:lang w:val="en-GB"/>
        </w:rPr>
        <w:t>ves of the Republic of Bulgaria;</w:t>
      </w:r>
    </w:p>
    <w:p w:rsidR="002662F5" w:rsidRDefault="009A298C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55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08C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>eveloping a C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ommunication 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lan with measures for communication, dissemination and transfer of knowledge between 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2662F5" w:rsidRPr="00517AF2">
        <w:rPr>
          <w:rFonts w:ascii="Times New Roman" w:hAnsi="Times New Roman" w:cs="Times New Roman"/>
          <w:sz w:val="24"/>
          <w:szCs w:val="24"/>
          <w:lang w:val="en-GB"/>
        </w:rPr>
        <w:t xml:space="preserve"> SEE</w:t>
      </w:r>
      <w:r w:rsidR="00214487">
        <w:rPr>
          <w:rFonts w:ascii="Times New Roman" w:hAnsi="Times New Roman" w:cs="Times New Roman"/>
          <w:sz w:val="24"/>
          <w:szCs w:val="24"/>
          <w:lang w:val="en-GB"/>
        </w:rPr>
        <w:t>CP participants</w:t>
      </w:r>
      <w:r w:rsidR="00BB3F4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B3F4D" w:rsidRDefault="00BB3F4D" w:rsidP="004115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E01C6" w:rsidRPr="00BB3F4D" w:rsidRDefault="009E01C6" w:rsidP="00174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We </w:t>
      </w:r>
      <w:r w:rsidR="00174D78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express our appreciation </w:t>
      </w:r>
      <w:r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to the</w:t>
      </w:r>
      <w:r w:rsidR="0076701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Government of the</w:t>
      </w:r>
      <w:r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Republic of Bulgaria </w:t>
      </w:r>
      <w:r w:rsidR="00174D78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for </w:t>
      </w:r>
      <w:r w:rsid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</w:t>
      </w:r>
      <w:r w:rsidR="00174D78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hospitality </w:t>
      </w:r>
      <w:r w:rsidR="00174D78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and extend our warmest gratitude for </w:t>
      </w:r>
      <w:r w:rsidR="00676AA5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hosting</w:t>
      </w:r>
      <w:r w:rsidR="00676AA5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676AA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and </w:t>
      </w:r>
      <w:r w:rsidR="00174D78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the excellent organization </w:t>
      </w:r>
      <w:r w:rsidR="00676AA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of</w:t>
      </w:r>
      <w:r w:rsid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this conference within the </w:t>
      </w:r>
      <w:r w:rsid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</w:t>
      </w:r>
      <w:r w:rsidR="00174D78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hairmanship</w:t>
      </w:r>
      <w:r w:rsid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-in-Of</w:t>
      </w:r>
      <w:r w:rsidR="00174D78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fice</w:t>
      </w:r>
      <w:r w:rsid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of SEECP (2015-2016)</w:t>
      </w:r>
      <w:r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BB3F4D" w:rsidRPr="00BB3F4D" w:rsidRDefault="00BB3F4D" w:rsidP="00BB3F4D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9E01C6" w:rsidRPr="00BB3F4D" w:rsidRDefault="00174D78" w:rsidP="004236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We welcome </w:t>
      </w:r>
      <w:r w:rsidR="00340290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the </w:t>
      </w:r>
      <w:r w:rsidR="0034029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</w:t>
      </w:r>
      <w:r w:rsidR="00340290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coming </w:t>
      </w:r>
      <w:r w:rsidR="0034029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</w:t>
      </w:r>
      <w:r w:rsidR="00340290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hairmanship</w:t>
      </w:r>
      <w:r w:rsidR="0034029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-in-O</w:t>
      </w:r>
      <w:r w:rsidR="00340290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ffice</w:t>
      </w:r>
      <w:r w:rsidR="00340290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F441D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of the Republic of Croatia </w:t>
      </w:r>
      <w:r w:rsidR="0034029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and</w:t>
      </w:r>
      <w:r w:rsidR="009E01C6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F308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trust </w:t>
      </w:r>
      <w:r w:rsidR="00F441D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that </w:t>
      </w:r>
      <w:r w:rsidR="004236E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</w:t>
      </w:r>
      <w:r w:rsidR="00F441D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34029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topic</w:t>
      </w:r>
      <w:r w:rsidR="004236E5" w:rsidRPr="004236E5">
        <w:t xml:space="preserve"> </w:t>
      </w:r>
      <w:r w:rsidR="004236E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of the</w:t>
      </w:r>
      <w:r w:rsidR="004236E5" w:rsidRPr="004236E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conference</w:t>
      </w:r>
      <w:r w:rsidR="0021448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and the engagements in this Declaration</w:t>
      </w:r>
      <w:r w:rsidR="004236E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F441D0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will </w:t>
      </w:r>
      <w:r w:rsidR="00F441D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be kept </w:t>
      </w:r>
      <w:r w:rsidR="0034029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as one of the priorities </w:t>
      </w:r>
      <w:r w:rsidR="009E01C6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on</w:t>
      </w:r>
      <w:r w:rsidR="0021448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its</w:t>
      </w:r>
      <w:r w:rsidR="009E01C6" w:rsidRPr="00BB3F4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agenda</w:t>
      </w:r>
      <w:r w:rsidR="002F436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="001D4B0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as well as</w:t>
      </w:r>
      <w:r w:rsidR="0021448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of future</w:t>
      </w:r>
      <w:r w:rsidR="00E22F6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</w:t>
      </w:r>
      <w:r w:rsidR="00E22F62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hairmanship</w:t>
      </w:r>
      <w:r w:rsidR="00E22F6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s-in-O</w:t>
      </w:r>
      <w:r w:rsidR="00E22F62" w:rsidRPr="00174D7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ffice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9E01C6" w:rsidRDefault="009E01C6" w:rsidP="00BB3F4D">
      <w:pPr>
        <w:pStyle w:val="ListParagraph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7444D" w:rsidRDefault="0017444D" w:rsidP="00B14ABF">
      <w:pPr>
        <w:pStyle w:val="ListParagraph"/>
        <w:spacing w:after="0" w:line="240" w:lineRule="auto"/>
        <w:ind w:left="0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</w:p>
    <w:p w:rsidR="0017444D" w:rsidRDefault="0017444D" w:rsidP="00B14ABF">
      <w:pPr>
        <w:pStyle w:val="ListParagraph"/>
        <w:spacing w:after="0" w:line="240" w:lineRule="auto"/>
        <w:ind w:left="0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</w:p>
    <w:p w:rsidR="00BB3F4D" w:rsidRDefault="00255B24" w:rsidP="00BB3F4D">
      <w:pPr>
        <w:pStyle w:val="ListParagraph"/>
        <w:spacing w:after="0" w:line="240" w:lineRule="auto"/>
        <w:ind w:left="0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Adopted </w:t>
      </w:r>
      <w:r w:rsidR="00BD0E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in Sofia</w:t>
      </w:r>
      <w:r w:rsidR="0017444D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,</w:t>
      </w:r>
      <w:r w:rsidR="00BD0E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13</w:t>
      </w:r>
      <w:r w:rsidR="00BD0ED2" w:rsidRPr="00BD0ED2">
        <w:rPr>
          <w:rFonts w:ascii="Times New Roman" w:eastAsiaTheme="minorHAnsi" w:hAnsi="Times New Roman" w:cs="Times New Roman"/>
          <w:i/>
          <w:sz w:val="24"/>
          <w:szCs w:val="24"/>
          <w:vertAlign w:val="superscript"/>
          <w:lang w:val="en-US" w:eastAsia="en-US"/>
        </w:rPr>
        <w:t>th</w:t>
      </w:r>
      <w:r w:rsidR="00BD0E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May 2016 </w:t>
      </w:r>
    </w:p>
    <w:p w:rsidR="00822C12" w:rsidRPr="00BB3F4D" w:rsidRDefault="00822C12" w:rsidP="00BB3F4D">
      <w:pPr>
        <w:pStyle w:val="ListParagraph"/>
        <w:spacing w:after="0" w:line="240" w:lineRule="auto"/>
        <w:ind w:left="0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</w:p>
    <w:sectPr w:rsidR="00822C12" w:rsidRPr="00BB3F4D" w:rsidSect="00EA1A47">
      <w:footerReference w:type="default" r:id="rId1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F0" w:rsidRDefault="00C436F0" w:rsidP="00014606">
      <w:pPr>
        <w:spacing w:after="0" w:line="240" w:lineRule="auto"/>
      </w:pPr>
      <w:r>
        <w:separator/>
      </w:r>
    </w:p>
  </w:endnote>
  <w:endnote w:type="continuationSeparator" w:id="0">
    <w:p w:rsidR="00C436F0" w:rsidRDefault="00C436F0" w:rsidP="0001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07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14606" w:rsidRPr="00014606" w:rsidRDefault="00014606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146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1460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146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6ED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1460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14606" w:rsidRDefault="00014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F0" w:rsidRDefault="00C436F0" w:rsidP="00014606">
      <w:pPr>
        <w:spacing w:after="0" w:line="240" w:lineRule="auto"/>
      </w:pPr>
      <w:r>
        <w:separator/>
      </w:r>
    </w:p>
  </w:footnote>
  <w:footnote w:type="continuationSeparator" w:id="0">
    <w:p w:rsidR="00C436F0" w:rsidRDefault="00C436F0" w:rsidP="0001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EEE"/>
    <w:multiLevelType w:val="hybridMultilevel"/>
    <w:tmpl w:val="64A68AB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781F"/>
    <w:multiLevelType w:val="hybridMultilevel"/>
    <w:tmpl w:val="FF98EE6A"/>
    <w:lvl w:ilvl="0" w:tplc="DCDEAAE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7EAE"/>
    <w:multiLevelType w:val="hybridMultilevel"/>
    <w:tmpl w:val="896C7D4A"/>
    <w:lvl w:ilvl="0" w:tplc="8A82227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896D5D"/>
    <w:multiLevelType w:val="hybridMultilevel"/>
    <w:tmpl w:val="21229256"/>
    <w:lvl w:ilvl="0" w:tplc="84AE77B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0C2802C8"/>
    <w:multiLevelType w:val="hybridMultilevel"/>
    <w:tmpl w:val="19D670C8"/>
    <w:lvl w:ilvl="0" w:tplc="C1D495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B1225"/>
    <w:multiLevelType w:val="hybridMultilevel"/>
    <w:tmpl w:val="A7222F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31"/>
    <w:rsid w:val="00003D8C"/>
    <w:rsid w:val="00004D5C"/>
    <w:rsid w:val="000144DF"/>
    <w:rsid w:val="00014606"/>
    <w:rsid w:val="00015ACD"/>
    <w:rsid w:val="00054ABB"/>
    <w:rsid w:val="0008258B"/>
    <w:rsid w:val="000A758C"/>
    <w:rsid w:val="000B2C0D"/>
    <w:rsid w:val="000F6EDD"/>
    <w:rsid w:val="00111FD5"/>
    <w:rsid w:val="00122739"/>
    <w:rsid w:val="00126C1D"/>
    <w:rsid w:val="00131B29"/>
    <w:rsid w:val="001325CA"/>
    <w:rsid w:val="00151962"/>
    <w:rsid w:val="00161987"/>
    <w:rsid w:val="00170A92"/>
    <w:rsid w:val="0017186F"/>
    <w:rsid w:val="0017444D"/>
    <w:rsid w:val="00174D78"/>
    <w:rsid w:val="00194F86"/>
    <w:rsid w:val="001A5CA8"/>
    <w:rsid w:val="001C1AAC"/>
    <w:rsid w:val="001D4B05"/>
    <w:rsid w:val="001F3756"/>
    <w:rsid w:val="002070E2"/>
    <w:rsid w:val="00214487"/>
    <w:rsid w:val="00255B24"/>
    <w:rsid w:val="002662F5"/>
    <w:rsid w:val="00273365"/>
    <w:rsid w:val="002761E8"/>
    <w:rsid w:val="00277596"/>
    <w:rsid w:val="0028449F"/>
    <w:rsid w:val="00286101"/>
    <w:rsid w:val="00294FFC"/>
    <w:rsid w:val="002D1C60"/>
    <w:rsid w:val="002F33E4"/>
    <w:rsid w:val="002F436A"/>
    <w:rsid w:val="002F44B0"/>
    <w:rsid w:val="002F7E8E"/>
    <w:rsid w:val="003216D5"/>
    <w:rsid w:val="00332AF2"/>
    <w:rsid w:val="00335254"/>
    <w:rsid w:val="00340290"/>
    <w:rsid w:val="00355C7D"/>
    <w:rsid w:val="00373DE3"/>
    <w:rsid w:val="00382ABA"/>
    <w:rsid w:val="003B5CFA"/>
    <w:rsid w:val="003C55EA"/>
    <w:rsid w:val="003C71F3"/>
    <w:rsid w:val="003D3021"/>
    <w:rsid w:val="003D5B38"/>
    <w:rsid w:val="003E0180"/>
    <w:rsid w:val="003E0814"/>
    <w:rsid w:val="00411500"/>
    <w:rsid w:val="00412E73"/>
    <w:rsid w:val="004236E5"/>
    <w:rsid w:val="004353AA"/>
    <w:rsid w:val="004409A6"/>
    <w:rsid w:val="00443BF7"/>
    <w:rsid w:val="00455CE5"/>
    <w:rsid w:val="00467424"/>
    <w:rsid w:val="00472E39"/>
    <w:rsid w:val="0047309D"/>
    <w:rsid w:val="00494ABA"/>
    <w:rsid w:val="004B56A9"/>
    <w:rsid w:val="004B5B81"/>
    <w:rsid w:val="004C16E9"/>
    <w:rsid w:val="004E0E87"/>
    <w:rsid w:val="004E17E2"/>
    <w:rsid w:val="004E3FE9"/>
    <w:rsid w:val="004E53C2"/>
    <w:rsid w:val="0052216E"/>
    <w:rsid w:val="005331B6"/>
    <w:rsid w:val="005441CC"/>
    <w:rsid w:val="00550961"/>
    <w:rsid w:val="005556C6"/>
    <w:rsid w:val="0056105C"/>
    <w:rsid w:val="00565F4F"/>
    <w:rsid w:val="00566937"/>
    <w:rsid w:val="005876B3"/>
    <w:rsid w:val="00593F93"/>
    <w:rsid w:val="005A675B"/>
    <w:rsid w:val="005A6B13"/>
    <w:rsid w:val="005A774A"/>
    <w:rsid w:val="005C7903"/>
    <w:rsid w:val="005C7915"/>
    <w:rsid w:val="005D6C13"/>
    <w:rsid w:val="005E1D6D"/>
    <w:rsid w:val="005E5D34"/>
    <w:rsid w:val="0062778E"/>
    <w:rsid w:val="00633D31"/>
    <w:rsid w:val="00635E01"/>
    <w:rsid w:val="0064266E"/>
    <w:rsid w:val="006615A4"/>
    <w:rsid w:val="006669D8"/>
    <w:rsid w:val="00676AA5"/>
    <w:rsid w:val="00677284"/>
    <w:rsid w:val="00687F4B"/>
    <w:rsid w:val="006914C5"/>
    <w:rsid w:val="006940BF"/>
    <w:rsid w:val="006B2952"/>
    <w:rsid w:val="006C4EF4"/>
    <w:rsid w:val="006C5AD4"/>
    <w:rsid w:val="006F07A3"/>
    <w:rsid w:val="006F5037"/>
    <w:rsid w:val="007035BF"/>
    <w:rsid w:val="00704135"/>
    <w:rsid w:val="00716538"/>
    <w:rsid w:val="007179E0"/>
    <w:rsid w:val="00747320"/>
    <w:rsid w:val="00752D79"/>
    <w:rsid w:val="00767010"/>
    <w:rsid w:val="00780748"/>
    <w:rsid w:val="00791432"/>
    <w:rsid w:val="007D0F12"/>
    <w:rsid w:val="007F42CD"/>
    <w:rsid w:val="007F7E00"/>
    <w:rsid w:val="00801C4A"/>
    <w:rsid w:val="008025B9"/>
    <w:rsid w:val="00817420"/>
    <w:rsid w:val="00822C12"/>
    <w:rsid w:val="008307C3"/>
    <w:rsid w:val="00830AD4"/>
    <w:rsid w:val="0083264C"/>
    <w:rsid w:val="00836283"/>
    <w:rsid w:val="00842DD5"/>
    <w:rsid w:val="00847FC7"/>
    <w:rsid w:val="008651F9"/>
    <w:rsid w:val="0087783F"/>
    <w:rsid w:val="008853E4"/>
    <w:rsid w:val="00887280"/>
    <w:rsid w:val="0089236A"/>
    <w:rsid w:val="008B4B10"/>
    <w:rsid w:val="008C0BD3"/>
    <w:rsid w:val="008D0805"/>
    <w:rsid w:val="008D0EEB"/>
    <w:rsid w:val="008E1F82"/>
    <w:rsid w:val="008E620B"/>
    <w:rsid w:val="008E74B6"/>
    <w:rsid w:val="008F2273"/>
    <w:rsid w:val="008F785C"/>
    <w:rsid w:val="0090471B"/>
    <w:rsid w:val="00917374"/>
    <w:rsid w:val="0091744B"/>
    <w:rsid w:val="00922254"/>
    <w:rsid w:val="009305A7"/>
    <w:rsid w:val="00950CE3"/>
    <w:rsid w:val="00954195"/>
    <w:rsid w:val="0098070C"/>
    <w:rsid w:val="009870B6"/>
    <w:rsid w:val="009A298C"/>
    <w:rsid w:val="009B2B5F"/>
    <w:rsid w:val="009E01C6"/>
    <w:rsid w:val="009E2871"/>
    <w:rsid w:val="00A20371"/>
    <w:rsid w:val="00A55720"/>
    <w:rsid w:val="00A55A9F"/>
    <w:rsid w:val="00A5736D"/>
    <w:rsid w:val="00A74003"/>
    <w:rsid w:val="00A77DC0"/>
    <w:rsid w:val="00A821B7"/>
    <w:rsid w:val="00A84E9A"/>
    <w:rsid w:val="00AA054E"/>
    <w:rsid w:val="00AA11BB"/>
    <w:rsid w:val="00AC4AF0"/>
    <w:rsid w:val="00AE6C1A"/>
    <w:rsid w:val="00AE7A0A"/>
    <w:rsid w:val="00AF7949"/>
    <w:rsid w:val="00B055BB"/>
    <w:rsid w:val="00B05FF4"/>
    <w:rsid w:val="00B10C4A"/>
    <w:rsid w:val="00B10CD7"/>
    <w:rsid w:val="00B14ABF"/>
    <w:rsid w:val="00B21536"/>
    <w:rsid w:val="00B300E9"/>
    <w:rsid w:val="00B375AF"/>
    <w:rsid w:val="00B375B9"/>
    <w:rsid w:val="00B5292C"/>
    <w:rsid w:val="00B62903"/>
    <w:rsid w:val="00B74625"/>
    <w:rsid w:val="00B74BD4"/>
    <w:rsid w:val="00BA6EBA"/>
    <w:rsid w:val="00BB3F4D"/>
    <w:rsid w:val="00BD0ED2"/>
    <w:rsid w:val="00C02680"/>
    <w:rsid w:val="00C436F0"/>
    <w:rsid w:val="00C45E64"/>
    <w:rsid w:val="00C46725"/>
    <w:rsid w:val="00C7168F"/>
    <w:rsid w:val="00C912F4"/>
    <w:rsid w:val="00C921D9"/>
    <w:rsid w:val="00C95E33"/>
    <w:rsid w:val="00C95E9D"/>
    <w:rsid w:val="00CB28EB"/>
    <w:rsid w:val="00CB4582"/>
    <w:rsid w:val="00CB7CC7"/>
    <w:rsid w:val="00CC4593"/>
    <w:rsid w:val="00CC5E60"/>
    <w:rsid w:val="00CD10DB"/>
    <w:rsid w:val="00CF1CF9"/>
    <w:rsid w:val="00CF308C"/>
    <w:rsid w:val="00CF52F0"/>
    <w:rsid w:val="00D018F3"/>
    <w:rsid w:val="00D4537E"/>
    <w:rsid w:val="00D83E05"/>
    <w:rsid w:val="00D915E6"/>
    <w:rsid w:val="00D94340"/>
    <w:rsid w:val="00D97CE4"/>
    <w:rsid w:val="00DA7180"/>
    <w:rsid w:val="00DC41CC"/>
    <w:rsid w:val="00DD1589"/>
    <w:rsid w:val="00DD54CD"/>
    <w:rsid w:val="00E131EF"/>
    <w:rsid w:val="00E14178"/>
    <w:rsid w:val="00E207DD"/>
    <w:rsid w:val="00E22F62"/>
    <w:rsid w:val="00E32E89"/>
    <w:rsid w:val="00E46565"/>
    <w:rsid w:val="00E56526"/>
    <w:rsid w:val="00E6114F"/>
    <w:rsid w:val="00E82EC7"/>
    <w:rsid w:val="00EA1A47"/>
    <w:rsid w:val="00ED1DCB"/>
    <w:rsid w:val="00F014C5"/>
    <w:rsid w:val="00F2510D"/>
    <w:rsid w:val="00F26282"/>
    <w:rsid w:val="00F30BCE"/>
    <w:rsid w:val="00F441D0"/>
    <w:rsid w:val="00F74577"/>
    <w:rsid w:val="00F76155"/>
    <w:rsid w:val="00FA7B23"/>
    <w:rsid w:val="00FB589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4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D31"/>
    <w:rPr>
      <w:rFonts w:eastAsiaTheme="minorEastAsia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33D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D31"/>
    <w:rPr>
      <w:sz w:val="16"/>
      <w:szCs w:val="16"/>
    </w:rPr>
  </w:style>
  <w:style w:type="character" w:customStyle="1" w:styleId="longtext">
    <w:name w:val="long_text"/>
    <w:basedOn w:val="DefaultParagraphFont"/>
    <w:rsid w:val="00633D31"/>
  </w:style>
  <w:style w:type="paragraph" w:styleId="BalloonText">
    <w:name w:val="Balloon Text"/>
    <w:basedOn w:val="Normal"/>
    <w:link w:val="BalloonTextChar"/>
    <w:uiPriority w:val="99"/>
    <w:semiHidden/>
    <w:unhideWhenUsed/>
    <w:rsid w:val="0063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31"/>
    <w:rPr>
      <w:rFonts w:ascii="Tahoma" w:eastAsiaTheme="minorEastAsia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0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06"/>
    <w:rPr>
      <w:rFonts w:eastAsiaTheme="minorEastAsia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8E"/>
    <w:rPr>
      <w:rFonts w:eastAsiaTheme="minorEastAsia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4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D31"/>
    <w:rPr>
      <w:rFonts w:eastAsiaTheme="minorEastAsia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33D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D31"/>
    <w:rPr>
      <w:sz w:val="16"/>
      <w:szCs w:val="16"/>
    </w:rPr>
  </w:style>
  <w:style w:type="character" w:customStyle="1" w:styleId="longtext">
    <w:name w:val="long_text"/>
    <w:basedOn w:val="DefaultParagraphFont"/>
    <w:rsid w:val="00633D31"/>
  </w:style>
  <w:style w:type="paragraph" w:styleId="BalloonText">
    <w:name w:val="Balloon Text"/>
    <w:basedOn w:val="Normal"/>
    <w:link w:val="BalloonTextChar"/>
    <w:uiPriority w:val="99"/>
    <w:semiHidden/>
    <w:unhideWhenUsed/>
    <w:rsid w:val="0063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31"/>
    <w:rPr>
      <w:rFonts w:ascii="Tahoma" w:eastAsiaTheme="minorEastAsia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0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06"/>
    <w:rPr>
      <w:rFonts w:eastAsiaTheme="minorEastAsia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8E"/>
    <w:rPr>
      <w:rFonts w:eastAsiaTheme="minorEastAsia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BE75-CB25-4775-A475-6A30175A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Voynova</dc:creator>
  <cp:lastModifiedBy>Zlatina Naydenova</cp:lastModifiedBy>
  <cp:revision>26</cp:revision>
  <cp:lastPrinted>2015-10-01T10:23:00Z</cp:lastPrinted>
  <dcterms:created xsi:type="dcterms:W3CDTF">2016-05-11T07:43:00Z</dcterms:created>
  <dcterms:modified xsi:type="dcterms:W3CDTF">2016-05-11T08:05:00Z</dcterms:modified>
</cp:coreProperties>
</file>