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2097" w:rsidRPr="00BD5BB8" w:rsidRDefault="005F2097" w:rsidP="005F2097">
      <w:pPr>
        <w:spacing w:after="0" w:line="240" w:lineRule="auto"/>
        <w:jc w:val="right"/>
        <w:rPr>
          <w:rFonts w:ascii="Times New Roman" w:hAnsi="Times New Roman" w:cs="Times New Roman"/>
          <w:sz w:val="28"/>
          <w:szCs w:val="28"/>
        </w:rPr>
      </w:pPr>
      <w:r w:rsidRPr="00BD5BB8">
        <w:rPr>
          <w:rFonts w:ascii="Times New Roman" w:hAnsi="Times New Roman" w:cs="Times New Roman"/>
          <w:sz w:val="28"/>
          <w:szCs w:val="28"/>
        </w:rPr>
        <w:t>Проект!</w:t>
      </w:r>
    </w:p>
    <w:p w:rsidR="005F2097" w:rsidRPr="00BD5BB8" w:rsidRDefault="005F2097" w:rsidP="005F2097">
      <w:pPr>
        <w:spacing w:after="0" w:line="240" w:lineRule="auto"/>
        <w:jc w:val="right"/>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МИНИСТЕРСТВО НА ТРУДА И СОЦИАЛНАТА ПОЛИТИКА</w:t>
      </w: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r w:rsidRPr="00BD5BB8">
        <w:rPr>
          <w:rFonts w:ascii="Times New Roman" w:hAnsi="Times New Roman" w:cs="Times New Roman"/>
          <w:noProof/>
          <w:sz w:val="36"/>
          <w:szCs w:val="36"/>
          <w:lang w:eastAsia="bg-BG"/>
        </w:rPr>
        <w:drawing>
          <wp:inline distT="0" distB="0" distL="0" distR="0" wp14:anchorId="2B0BB443" wp14:editId="7B0F3931">
            <wp:extent cx="882650" cy="701283"/>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4268" cy="702569"/>
                    </a:xfrm>
                    <a:prstGeom prst="rect">
                      <a:avLst/>
                    </a:prstGeom>
                    <a:noFill/>
                    <a:ln>
                      <a:noFill/>
                    </a:ln>
                  </pic:spPr>
                </pic:pic>
              </a:graphicData>
            </a:graphic>
          </wp:inline>
        </w:drawing>
      </w: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center"/>
        <w:rPr>
          <w:rFonts w:ascii="Times New Roman" w:hAnsi="Times New Roman" w:cs="Times New Roman"/>
          <w:b/>
          <w:sz w:val="40"/>
          <w:szCs w:val="40"/>
        </w:rPr>
      </w:pPr>
    </w:p>
    <w:p w:rsidR="005F2097" w:rsidRPr="00BD5BB8" w:rsidRDefault="005F2097" w:rsidP="005F2097">
      <w:pPr>
        <w:spacing w:after="0" w:line="240" w:lineRule="auto"/>
        <w:jc w:val="center"/>
        <w:rPr>
          <w:rFonts w:ascii="Times New Roman" w:hAnsi="Times New Roman" w:cs="Times New Roman"/>
          <w:b/>
          <w:sz w:val="40"/>
          <w:szCs w:val="40"/>
        </w:rPr>
      </w:pPr>
    </w:p>
    <w:p w:rsidR="005F2097" w:rsidRPr="00BD5BB8" w:rsidRDefault="005F2097" w:rsidP="005F2097">
      <w:pPr>
        <w:spacing w:after="0" w:line="240" w:lineRule="auto"/>
        <w:jc w:val="center"/>
        <w:rPr>
          <w:rFonts w:ascii="Times New Roman" w:hAnsi="Times New Roman" w:cs="Times New Roman"/>
          <w:b/>
          <w:sz w:val="40"/>
          <w:szCs w:val="40"/>
        </w:rPr>
      </w:pPr>
      <w:r w:rsidRPr="00BD5BB8">
        <w:rPr>
          <w:rFonts w:ascii="Times New Roman" w:hAnsi="Times New Roman" w:cs="Times New Roman"/>
          <w:b/>
          <w:sz w:val="40"/>
          <w:szCs w:val="40"/>
        </w:rPr>
        <w:t>ДОКЛАД</w:t>
      </w:r>
    </w:p>
    <w:p w:rsidR="005F2097" w:rsidRPr="00BD5BB8" w:rsidRDefault="005F2097" w:rsidP="005F2097">
      <w:pPr>
        <w:spacing w:after="0" w:line="240" w:lineRule="auto"/>
        <w:jc w:val="center"/>
        <w:rPr>
          <w:rFonts w:ascii="Times New Roman" w:hAnsi="Times New Roman" w:cs="Times New Roman"/>
          <w:b/>
          <w:sz w:val="40"/>
          <w:szCs w:val="40"/>
        </w:rPr>
      </w:pPr>
    </w:p>
    <w:p w:rsidR="005F2097" w:rsidRPr="00BD5BB8" w:rsidRDefault="005F2097" w:rsidP="005F2097">
      <w:pPr>
        <w:spacing w:after="0" w:line="360" w:lineRule="auto"/>
        <w:jc w:val="center"/>
        <w:rPr>
          <w:rFonts w:ascii="Times New Roman" w:hAnsi="Times New Roman" w:cs="Times New Roman"/>
          <w:b/>
          <w:sz w:val="32"/>
          <w:szCs w:val="32"/>
        </w:rPr>
      </w:pPr>
    </w:p>
    <w:p w:rsidR="005F2097" w:rsidRPr="00BD5BB8" w:rsidRDefault="005F2097" w:rsidP="005F2097">
      <w:pPr>
        <w:spacing w:after="0" w:line="360" w:lineRule="auto"/>
        <w:jc w:val="center"/>
        <w:rPr>
          <w:rFonts w:ascii="Times New Roman" w:hAnsi="Times New Roman" w:cs="Times New Roman"/>
          <w:b/>
          <w:sz w:val="32"/>
          <w:szCs w:val="32"/>
        </w:rPr>
      </w:pPr>
    </w:p>
    <w:p w:rsidR="005F2097" w:rsidRPr="00BD5BB8" w:rsidRDefault="005F2097" w:rsidP="005F2097">
      <w:pPr>
        <w:spacing w:after="0" w:line="360" w:lineRule="auto"/>
        <w:jc w:val="center"/>
        <w:rPr>
          <w:rFonts w:ascii="Times New Roman" w:hAnsi="Times New Roman" w:cs="Times New Roman"/>
          <w:b/>
          <w:sz w:val="32"/>
          <w:szCs w:val="32"/>
        </w:rPr>
      </w:pPr>
      <w:r w:rsidRPr="00BD5BB8">
        <w:rPr>
          <w:rFonts w:ascii="Times New Roman" w:hAnsi="Times New Roman" w:cs="Times New Roman"/>
          <w:b/>
          <w:sz w:val="32"/>
          <w:szCs w:val="32"/>
        </w:rPr>
        <w:t xml:space="preserve">ЗА ОТРАЗЯВАНЕ НА НАЦИОНАЛНАТА КОНЦЕПЦИЯ </w:t>
      </w:r>
    </w:p>
    <w:p w:rsidR="005F2097" w:rsidRPr="00BD5BB8" w:rsidRDefault="005F2097" w:rsidP="005F2097">
      <w:pPr>
        <w:spacing w:after="0" w:line="360" w:lineRule="auto"/>
        <w:jc w:val="center"/>
        <w:rPr>
          <w:rFonts w:ascii="Times New Roman" w:hAnsi="Times New Roman" w:cs="Times New Roman"/>
          <w:b/>
          <w:sz w:val="32"/>
          <w:szCs w:val="32"/>
        </w:rPr>
      </w:pPr>
      <w:r w:rsidRPr="00BD5BB8">
        <w:rPr>
          <w:rFonts w:ascii="Times New Roman" w:hAnsi="Times New Roman" w:cs="Times New Roman"/>
          <w:b/>
          <w:sz w:val="32"/>
          <w:szCs w:val="32"/>
        </w:rPr>
        <w:t>ЗА НАСЪРЧАВАНЕ НА АКТИВНИЯ ЖИВОТ НА ВЪЗРАСТНИТЕ ХОРА В БЪЛГАРИЯ (2012</w:t>
      </w:r>
      <w:r w:rsidR="0092148B" w:rsidRPr="00BD5BB8">
        <w:rPr>
          <w:rFonts w:ascii="Times New Roman" w:hAnsi="Times New Roman" w:cs="Times New Roman"/>
          <w:b/>
          <w:sz w:val="32"/>
          <w:szCs w:val="32"/>
        </w:rPr>
        <w:t xml:space="preserve"> – </w:t>
      </w:r>
      <w:r w:rsidRPr="00BD5BB8">
        <w:rPr>
          <w:rFonts w:ascii="Times New Roman" w:hAnsi="Times New Roman" w:cs="Times New Roman"/>
          <w:b/>
          <w:sz w:val="32"/>
          <w:szCs w:val="32"/>
        </w:rPr>
        <w:t xml:space="preserve">2030 г.) </w:t>
      </w:r>
    </w:p>
    <w:p w:rsidR="005F2097" w:rsidRPr="00BD5BB8" w:rsidRDefault="005F2097" w:rsidP="005F2097">
      <w:pPr>
        <w:spacing w:after="0" w:line="360" w:lineRule="auto"/>
        <w:jc w:val="center"/>
        <w:rPr>
          <w:rFonts w:ascii="Times New Roman" w:hAnsi="Times New Roman" w:cs="Times New Roman"/>
          <w:b/>
          <w:sz w:val="32"/>
          <w:szCs w:val="32"/>
        </w:rPr>
      </w:pPr>
      <w:r w:rsidRPr="00BD5BB8">
        <w:rPr>
          <w:rFonts w:ascii="Times New Roman" w:hAnsi="Times New Roman" w:cs="Times New Roman"/>
          <w:b/>
          <w:sz w:val="32"/>
          <w:szCs w:val="32"/>
        </w:rPr>
        <w:t xml:space="preserve">В СЕКТОРНИТЕ ПОЛИТИКИ </w:t>
      </w:r>
    </w:p>
    <w:p w:rsidR="005F2097" w:rsidRPr="00BD5BB8" w:rsidRDefault="005F2097" w:rsidP="005F2097">
      <w:pPr>
        <w:spacing w:after="0" w:line="360" w:lineRule="auto"/>
        <w:jc w:val="center"/>
        <w:rPr>
          <w:rFonts w:ascii="Times New Roman" w:hAnsi="Times New Roman" w:cs="Times New Roman"/>
          <w:b/>
          <w:sz w:val="32"/>
          <w:szCs w:val="32"/>
        </w:rPr>
      </w:pPr>
      <w:r w:rsidRPr="00BD5BB8">
        <w:rPr>
          <w:rFonts w:ascii="Times New Roman" w:hAnsi="Times New Roman" w:cs="Times New Roman"/>
          <w:b/>
          <w:sz w:val="32"/>
          <w:szCs w:val="32"/>
        </w:rPr>
        <w:t>ЗА ПЕРИОДА 2017</w:t>
      </w:r>
      <w:r w:rsidR="0092148B" w:rsidRPr="00BD5BB8">
        <w:rPr>
          <w:rFonts w:ascii="Times New Roman" w:hAnsi="Times New Roman" w:cs="Times New Roman"/>
          <w:b/>
          <w:sz w:val="32"/>
          <w:szCs w:val="32"/>
        </w:rPr>
        <w:t xml:space="preserve"> – </w:t>
      </w:r>
      <w:r w:rsidRPr="00BD5BB8">
        <w:rPr>
          <w:rFonts w:ascii="Times New Roman" w:hAnsi="Times New Roman" w:cs="Times New Roman"/>
          <w:b/>
          <w:sz w:val="32"/>
          <w:szCs w:val="32"/>
        </w:rPr>
        <w:t>2018 г.</w:t>
      </w:r>
    </w:p>
    <w:p w:rsidR="005F2097" w:rsidRPr="00BD5BB8" w:rsidRDefault="005F2097" w:rsidP="005F2097">
      <w:pPr>
        <w:spacing w:after="0" w:line="240" w:lineRule="auto"/>
        <w:jc w:val="center"/>
        <w:rPr>
          <w:rFonts w:ascii="Times New Roman" w:hAnsi="Times New Roman" w:cs="Times New Roman"/>
          <w:b/>
          <w:sz w:val="32"/>
          <w:szCs w:val="32"/>
        </w:rPr>
      </w:pPr>
    </w:p>
    <w:p w:rsidR="005F2097" w:rsidRPr="00BD5BB8" w:rsidRDefault="005F2097" w:rsidP="005F2097">
      <w:pPr>
        <w:spacing w:after="0" w:line="240" w:lineRule="auto"/>
        <w:jc w:val="center"/>
        <w:rPr>
          <w:rFonts w:ascii="Times New Roman" w:hAnsi="Times New Roman" w:cs="Times New Roman"/>
          <w:b/>
          <w:sz w:val="32"/>
          <w:szCs w:val="32"/>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br w:type="page"/>
      </w:r>
    </w:p>
    <w:p w:rsidR="005F2097" w:rsidRPr="00BD5BB8" w:rsidRDefault="005F2097" w:rsidP="005F2097">
      <w:pPr>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lastRenderedPageBreak/>
        <w:t>Съдържание</w:t>
      </w:r>
    </w:p>
    <w:p w:rsidR="005F2097" w:rsidRPr="00BD5BB8" w:rsidRDefault="005F2097" w:rsidP="005F2097">
      <w:pPr>
        <w:spacing w:after="0" w:line="240" w:lineRule="auto"/>
        <w:jc w:val="both"/>
        <w:rPr>
          <w:rFonts w:ascii="Times New Roman" w:hAnsi="Times New Roman" w:cs="Times New Roman"/>
          <w:b/>
          <w:sz w:val="24"/>
          <w:szCs w:val="24"/>
        </w:rPr>
      </w:pPr>
    </w:p>
    <w:tbl>
      <w:tblPr>
        <w:tblW w:w="0" w:type="auto"/>
        <w:shd w:val="clear" w:color="auto" w:fill="FFFF00"/>
        <w:tblLook w:val="04A0" w:firstRow="1" w:lastRow="0" w:firstColumn="1" w:lastColumn="0" w:noHBand="0" w:noVBand="1"/>
      </w:tblPr>
      <w:tblGrid>
        <w:gridCol w:w="8431"/>
        <w:gridCol w:w="855"/>
      </w:tblGrid>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w:hAnsi="Times New Roman" w:cs="Times New Roman"/>
                <w:b/>
              </w:rPr>
            </w:pPr>
            <w:r w:rsidRPr="00BD5BB8">
              <w:rPr>
                <w:rFonts w:ascii="Times New Roman" w:hAnsi="Times New Roman" w:cs="Times New Roman"/>
                <w:b/>
              </w:rPr>
              <w:t>ВЪВЕДЕНИЕ</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5F2097">
            <w:pPr>
              <w:spacing w:after="0" w:line="240" w:lineRule="auto"/>
              <w:jc w:val="center"/>
              <w:rPr>
                <w:rFonts w:ascii="Times New Roman" w:hAnsi="Times New Roman" w:cs="Times New Roman"/>
              </w:rPr>
            </w:pPr>
            <w:r w:rsidRPr="00BD5BB8">
              <w:rPr>
                <w:rFonts w:ascii="Times New Roman" w:hAnsi="Times New Roman" w:cs="Times New Roman"/>
              </w:rPr>
              <w:t>3</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w:hAnsi="Times New Roman" w:cs="Times New Roman"/>
                <w:b/>
              </w:rPr>
            </w:pPr>
            <w:r w:rsidRPr="00BD5BB8">
              <w:rPr>
                <w:rFonts w:ascii="Times New Roman" w:hAnsi="Times New Roman" w:cs="Times New Roman"/>
                <w:b/>
                <w:sz w:val="24"/>
                <w:szCs w:val="24"/>
              </w:rPr>
              <w:t xml:space="preserve">ЧАСТ 1 - ТЕНДЕНЦИИ В РАЗВИТИЕТО НА ДЕМОГРАФСКИТЕ ПРОЦЕСИ </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5F2097">
            <w:pPr>
              <w:spacing w:after="0" w:line="240" w:lineRule="auto"/>
              <w:jc w:val="center"/>
              <w:rPr>
                <w:rFonts w:ascii="Times New Roman" w:hAnsi="Times New Roman" w:cs="Times New Roman"/>
              </w:rPr>
            </w:pPr>
            <w:r w:rsidRPr="00BD5BB8">
              <w:rPr>
                <w:rFonts w:ascii="Times New Roman" w:hAnsi="Times New Roman" w:cs="Times New Roman"/>
              </w:rPr>
              <w:t>5</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E7186B">
            <w:pPr>
              <w:numPr>
                <w:ilvl w:val="1"/>
                <w:numId w:val="6"/>
              </w:num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 xml:space="preserve">  Демографските процеси в света</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5F2097">
            <w:pPr>
              <w:spacing w:after="0" w:line="240" w:lineRule="auto"/>
              <w:jc w:val="center"/>
              <w:rPr>
                <w:rFonts w:ascii="Times New Roman" w:hAnsi="Times New Roman" w:cs="Times New Roman"/>
              </w:rPr>
            </w:pPr>
            <w:r w:rsidRPr="00BD5BB8">
              <w:rPr>
                <w:rFonts w:ascii="Times New Roman" w:hAnsi="Times New Roman" w:cs="Times New Roman"/>
              </w:rPr>
              <w:t>5</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E7186B">
            <w:pPr>
              <w:numPr>
                <w:ilvl w:val="1"/>
                <w:numId w:val="6"/>
              </w:num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 xml:space="preserve"> Демографските процеси в Европейския съюз</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7</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E7186B">
            <w:pPr>
              <w:numPr>
                <w:ilvl w:val="1"/>
                <w:numId w:val="6"/>
              </w:numPr>
              <w:spacing w:after="0" w:line="240" w:lineRule="auto"/>
              <w:contextualSpacing/>
              <w:jc w:val="both"/>
              <w:rPr>
                <w:rFonts w:ascii="Times New Roman" w:eastAsia="Times New Roman" w:hAnsi="Times New Roman" w:cs="Times New Roman"/>
                <w:sz w:val="24"/>
                <w:szCs w:val="24"/>
                <w:lang w:eastAsia="bg-BG"/>
              </w:rPr>
            </w:pPr>
            <w:r w:rsidRPr="00BD5BB8">
              <w:rPr>
                <w:rFonts w:eastAsia="Times New Roman" w:cs="Times New Roman"/>
                <w:b/>
                <w:sz w:val="24"/>
                <w:szCs w:val="24"/>
                <w:lang w:eastAsia="bg-BG"/>
              </w:rPr>
              <w:t xml:space="preserve"> </w:t>
            </w:r>
            <w:r w:rsidRPr="00BD5BB8">
              <w:rPr>
                <w:rFonts w:ascii="Times New Roman Bold" w:eastAsia="Times New Roman" w:hAnsi="Times New Roman Bold" w:cs="Times New Roman"/>
                <w:b/>
                <w:sz w:val="24"/>
                <w:szCs w:val="24"/>
                <w:lang w:eastAsia="bg-BG"/>
              </w:rPr>
              <w:t>Демографските процеси в България</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11</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Bold" w:hAnsi="Times New Roman Bold" w:cs="Times New Roman"/>
                <w:b/>
                <w:caps/>
                <w:sz w:val="24"/>
                <w:szCs w:val="24"/>
              </w:rPr>
            </w:pPr>
            <w:r w:rsidRPr="00BD5BB8">
              <w:rPr>
                <w:rFonts w:ascii="Times New Roman Bold" w:hAnsi="Times New Roman Bold" w:cs="Times New Roman"/>
                <w:b/>
                <w:caps/>
                <w:sz w:val="24"/>
                <w:szCs w:val="24"/>
              </w:rPr>
              <w:t>Част 2</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Bold" w:hAnsi="Times New Roman Bold" w:cs="Times New Roman"/>
                <w:b/>
                <w:caps/>
                <w:sz w:val="24"/>
                <w:szCs w:val="24"/>
              </w:rPr>
              <w:t>Европейски и международни ангажименти на България за посрещане на демографските предизвикателства, свързани със застаряването на населението</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CC634A">
            <w:pPr>
              <w:spacing w:after="0" w:line="240" w:lineRule="auto"/>
              <w:jc w:val="center"/>
              <w:rPr>
                <w:rFonts w:ascii="Times New Roman" w:hAnsi="Times New Roman" w:cs="Times New Roman"/>
                <w:sz w:val="24"/>
                <w:szCs w:val="24"/>
                <w:lang w:val="en-US"/>
              </w:rPr>
            </w:pPr>
            <w:r w:rsidRPr="00BD5BB8">
              <w:rPr>
                <w:rFonts w:ascii="Times New Roman" w:hAnsi="Times New Roman" w:cs="Times New Roman"/>
                <w:sz w:val="24"/>
                <w:szCs w:val="24"/>
              </w:rPr>
              <w:t>2</w:t>
            </w:r>
            <w:r w:rsidR="00CC634A" w:rsidRPr="00BD5BB8">
              <w:rPr>
                <w:rFonts w:ascii="Times New Roman" w:hAnsi="Times New Roman" w:cs="Times New Roman"/>
                <w:sz w:val="24"/>
                <w:szCs w:val="24"/>
                <w:lang w:val="en-US"/>
              </w:rPr>
              <w:t>5</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w:hAnsi="Times New Roman" w:cs="Times New Roman"/>
              </w:rPr>
            </w:pPr>
            <w:r w:rsidRPr="00BD5BB8">
              <w:rPr>
                <w:rFonts w:ascii="Times New Roman" w:hAnsi="Times New Roman" w:cs="Times New Roman"/>
                <w:b/>
                <w:sz w:val="24"/>
                <w:szCs w:val="24"/>
              </w:rPr>
              <w:t>2.1. Принос на България в подготовката на Трети цикъл на преглед и оценка на Международния план за действие по застаряването, приет в Мадрид през 2002 г. и Регионалната стратегия за Европа за неговото изпълнение.</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BD5BB8">
            <w:pPr>
              <w:spacing w:after="0" w:line="240" w:lineRule="auto"/>
              <w:jc w:val="center"/>
              <w:rPr>
                <w:rFonts w:ascii="Times New Roman" w:hAnsi="Times New Roman" w:cs="Times New Roman"/>
              </w:rPr>
            </w:pPr>
            <w:r w:rsidRPr="00BD5BB8">
              <w:rPr>
                <w:rFonts w:ascii="Times New Roman" w:hAnsi="Times New Roman" w:cs="Times New Roman"/>
              </w:rPr>
              <w:t>2</w:t>
            </w:r>
            <w:r w:rsidR="00BD5BB8" w:rsidRPr="00BD5BB8">
              <w:rPr>
                <w:rFonts w:ascii="Times New Roman" w:hAnsi="Times New Roman" w:cs="Times New Roman"/>
              </w:rPr>
              <w:t>5</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D824DE"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b/>
                <w:sz w:val="24"/>
                <w:szCs w:val="24"/>
              </w:rPr>
              <w:t>2.2</w:t>
            </w:r>
            <w:r w:rsidRPr="00BD5BB8">
              <w:rPr>
                <w:rFonts w:ascii="Times New Roman" w:hAnsi="Times New Roman" w:cs="Times New Roman"/>
                <w:b/>
                <w:bCs/>
                <w:sz w:val="24"/>
                <w:szCs w:val="24"/>
              </w:rPr>
              <w:t>. Участие на България</w:t>
            </w:r>
            <w:r w:rsidRPr="00BD5BB8">
              <w:rPr>
                <w:rFonts w:ascii="Times New Roman" w:hAnsi="Times New Roman" w:cs="Times New Roman"/>
                <w:b/>
                <w:sz w:val="24"/>
                <w:szCs w:val="24"/>
              </w:rPr>
              <w:t xml:space="preserve"> в </w:t>
            </w:r>
            <w:r w:rsidRPr="00BD5BB8">
              <w:rPr>
                <w:rFonts w:ascii="Times New Roman" w:hAnsi="Times New Roman" w:cs="Times New Roman"/>
                <w:b/>
                <w:bCs/>
                <w:sz w:val="24"/>
                <w:szCs w:val="24"/>
              </w:rPr>
              <w:t>Конференция на министрите по въпросите на застаряването</w:t>
            </w:r>
            <w:r w:rsidRPr="00BD5BB8">
              <w:rPr>
                <w:rFonts w:ascii="Times New Roman" w:hAnsi="Times New Roman" w:cs="Times New Roman"/>
                <w:b/>
                <w:sz w:val="24"/>
                <w:szCs w:val="24"/>
              </w:rPr>
              <w:t xml:space="preserve"> под</w:t>
            </w:r>
            <w:r w:rsidRPr="00BD5BB8">
              <w:rPr>
                <w:rFonts w:ascii="Times New Roman" w:hAnsi="Times New Roman" w:cs="Times New Roman"/>
                <w:b/>
                <w:bCs/>
                <w:sz w:val="24"/>
                <w:szCs w:val="24"/>
              </w:rPr>
              <w:t xml:space="preserve"> надслов „Устойчиво общество за всички възрасти: реализиране на потенциала от удължаването на живота“</w:t>
            </w:r>
            <w:r w:rsidRPr="00BD5BB8">
              <w:rPr>
                <w:rFonts w:ascii="Times New Roman" w:hAnsi="Times New Roman" w:cs="Times New Roman"/>
                <w:b/>
                <w:sz w:val="24"/>
                <w:szCs w:val="24"/>
              </w:rPr>
              <w:t xml:space="preserve">, която се проведе на 21 и 22 </w:t>
            </w:r>
            <w:r w:rsidRPr="00BD5BB8">
              <w:rPr>
                <w:rFonts w:ascii="Times New Roman" w:hAnsi="Times New Roman" w:cs="Times New Roman"/>
                <w:b/>
                <w:bCs/>
                <w:sz w:val="24"/>
                <w:szCs w:val="24"/>
              </w:rPr>
              <w:t xml:space="preserve">септември </w:t>
            </w:r>
            <w:r w:rsidRPr="00BD5BB8">
              <w:rPr>
                <w:rFonts w:ascii="Times New Roman" w:hAnsi="Times New Roman" w:cs="Times New Roman"/>
                <w:b/>
                <w:sz w:val="24"/>
                <w:szCs w:val="24"/>
              </w:rPr>
              <w:t xml:space="preserve">2017 г. в град </w:t>
            </w:r>
            <w:r w:rsidRPr="00BD5BB8">
              <w:rPr>
                <w:rFonts w:ascii="Times New Roman" w:hAnsi="Times New Roman" w:cs="Times New Roman"/>
                <w:b/>
                <w:bCs/>
                <w:sz w:val="24"/>
                <w:szCs w:val="24"/>
              </w:rPr>
              <w:t>Лисабон, Португалия</w:t>
            </w:r>
            <w:r w:rsidRPr="00BD5BB8">
              <w:rPr>
                <w:rFonts w:ascii="Times New Roman" w:hAnsi="Times New Roman" w:cs="Times New Roman"/>
                <w:b/>
                <w:sz w:val="24"/>
                <w:szCs w:val="24"/>
              </w:rPr>
              <w:t xml:space="preserve">.  </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5F2097" w:rsidP="00BD5BB8">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2</w:t>
            </w:r>
            <w:r w:rsidR="00BD5BB8" w:rsidRPr="00BD5BB8">
              <w:rPr>
                <w:rFonts w:ascii="Times New Roman" w:hAnsi="Times New Roman" w:cs="Times New Roman"/>
                <w:sz w:val="24"/>
                <w:szCs w:val="24"/>
              </w:rPr>
              <w:t>9</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Bold" w:hAnsi="Times New Roman Bold" w:cs="Times New Roman"/>
                <w:b/>
                <w:caps/>
                <w:sz w:val="24"/>
                <w:szCs w:val="24"/>
              </w:rPr>
            </w:pPr>
            <w:r w:rsidRPr="00BD5BB8">
              <w:rPr>
                <w:rFonts w:ascii="Times New Roman Bold" w:hAnsi="Times New Roman Bold" w:cs="Times New Roman"/>
                <w:b/>
                <w:caps/>
                <w:sz w:val="24"/>
                <w:szCs w:val="24"/>
              </w:rPr>
              <w:t>Част 3</w:t>
            </w:r>
          </w:p>
          <w:p w:rsidR="005F2097" w:rsidRPr="00BD5BB8" w:rsidRDefault="005F2097" w:rsidP="005F2097">
            <w:pPr>
              <w:spacing w:after="0" w:line="240" w:lineRule="auto"/>
              <w:jc w:val="both"/>
              <w:rPr>
                <w:rFonts w:cs="Times New Roman"/>
                <w:sz w:val="24"/>
                <w:szCs w:val="24"/>
              </w:rPr>
            </w:pPr>
            <w:r w:rsidRPr="00BD5BB8">
              <w:rPr>
                <w:rFonts w:ascii="Times New Roman Bold" w:hAnsi="Times New Roman Bold" w:cs="Times New Roman"/>
                <w:b/>
                <w:caps/>
                <w:sz w:val="24"/>
                <w:szCs w:val="24"/>
              </w:rPr>
              <w:t xml:space="preserve">Отразяване на Националната концепция за насърчаване на активния живот на възрастните хора в България (2012-2030 </w:t>
            </w:r>
            <w:r w:rsidRPr="00BD5BB8">
              <w:rPr>
                <w:rFonts w:ascii="Times New Roman" w:hAnsi="Times New Roman" w:cs="Times New Roman"/>
                <w:b/>
                <w:sz w:val="24"/>
                <w:szCs w:val="24"/>
              </w:rPr>
              <w:t>г.</w:t>
            </w:r>
            <w:r w:rsidRPr="00BD5BB8">
              <w:rPr>
                <w:rFonts w:ascii="Times New Roman Bold" w:hAnsi="Times New Roman Bold" w:cs="Times New Roman"/>
                <w:b/>
                <w:caps/>
                <w:sz w:val="24"/>
                <w:szCs w:val="24"/>
              </w:rPr>
              <w:t>) в секторните политики</w:t>
            </w:r>
            <w:r w:rsidRPr="00BD5BB8">
              <w:rPr>
                <w:rFonts w:cs="Times New Roman"/>
                <w:b/>
                <w:caps/>
                <w:sz w:val="24"/>
                <w:szCs w:val="24"/>
              </w:rPr>
              <w:t xml:space="preserve"> </w:t>
            </w:r>
            <w:r w:rsidRPr="00BD5BB8">
              <w:rPr>
                <w:rFonts w:ascii="Times New Roman Bold" w:hAnsi="Times New Roman Bold" w:cs="Times New Roman"/>
                <w:b/>
                <w:caps/>
                <w:sz w:val="24"/>
                <w:szCs w:val="24"/>
              </w:rPr>
              <w:t xml:space="preserve">ЗА ПЕРИОДА 2015 -2016 </w:t>
            </w:r>
            <w:r w:rsidRPr="00BD5BB8">
              <w:rPr>
                <w:rFonts w:ascii="Times New Roman" w:hAnsi="Times New Roman" w:cs="Times New Roman"/>
                <w:b/>
                <w:sz w:val="24"/>
                <w:szCs w:val="24"/>
              </w:rPr>
              <w:t>г</w:t>
            </w:r>
            <w:r w:rsidRPr="00BD5BB8">
              <w:rPr>
                <w:rFonts w:ascii="Times New Roman Bold" w:hAnsi="Times New Roman Bold" w:cs="Times New Roman"/>
                <w:b/>
                <w:caps/>
                <w:sz w:val="24"/>
                <w:szCs w:val="24"/>
              </w:rPr>
              <w:t>.</w:t>
            </w:r>
            <w:r w:rsidRPr="00BD5BB8">
              <w:rPr>
                <w:rFonts w:cs="Times New Roman"/>
                <w:b/>
                <w:caps/>
                <w:sz w:val="24"/>
                <w:szCs w:val="24"/>
              </w:rPr>
              <w:t xml:space="preserve"> </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33</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w:hAnsi="Times New Roman" w:cs="Times New Roman"/>
              </w:rPr>
            </w:pPr>
            <w:r w:rsidRPr="00BD5BB8">
              <w:rPr>
                <w:rFonts w:ascii="Times New Roman" w:hAnsi="Times New Roman" w:cs="Times New Roman"/>
                <w:b/>
                <w:sz w:val="24"/>
                <w:szCs w:val="24"/>
              </w:rPr>
              <w:t>3.1. Мерки на пазара на труда за осигуряване на условия за активен трудов живот на възрастните хора по Оперативна цел 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rPr>
            </w:pPr>
            <w:r w:rsidRPr="00BD5BB8">
              <w:rPr>
                <w:rFonts w:ascii="Times New Roman" w:hAnsi="Times New Roman" w:cs="Times New Roman"/>
              </w:rPr>
              <w:t>35</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3.2. Мерки за осигуряване на финансова стабилност на пенсионната система, създаване на условия за активен и достоен живот в пенсионна възраст и за ограничаване на бедността сред пенсионерите по Оперативна цел 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48</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3.3. Мерки за осигуряване на условия за достъп до здравни услуги и удължаване на живота на възрастните в добро здраве по Оперативна цел 3.</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54</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3.4. Мерки за осигуряване на условия за достъп до образование, за учене през целия живот, за повишаване на квалификацията и за преквалификация на възрастните хора с оглед на подобряване на мобилността им на пазара на труда по Оперативна цел 4.</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66</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3.5. Мерки за развитие и модернизиране на дългосрочните грижи и осигуряване на равни възможности за достъп до социални услуги за възрастни хора. Развитие на т.нар. „сребърна икономика“ по Оперативна цел 5.</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72</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3.6. Мерки за развитие на доброволчеството и солидарността между поколенията по Оперативна цел 6.</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82</w:t>
            </w:r>
          </w:p>
        </w:tc>
      </w:tr>
      <w:tr w:rsidR="005F2097" w:rsidRPr="00BD5BB8" w:rsidTr="005F2097">
        <w:tc>
          <w:tcPr>
            <w:tcW w:w="8431" w:type="dxa"/>
            <w:tcBorders>
              <w:top w:val="single" w:sz="4" w:space="0" w:color="auto"/>
              <w:left w:val="single" w:sz="4" w:space="0" w:color="auto"/>
              <w:bottom w:val="single" w:sz="4" w:space="0" w:color="auto"/>
              <w:right w:val="single" w:sz="4" w:space="0" w:color="auto"/>
            </w:tcBorders>
            <w:shd w:val="clear" w:color="auto" w:fill="auto"/>
          </w:tcPr>
          <w:p w:rsidR="005F2097" w:rsidRPr="00BD5BB8" w:rsidRDefault="005F2097" w:rsidP="005F2097">
            <w:pPr>
              <w:spacing w:after="0" w:line="240" w:lineRule="auto"/>
              <w:jc w:val="both"/>
              <w:rPr>
                <w:rFonts w:ascii="Times New Roman" w:hAnsi="Times New Roman" w:cs="Times New Roman"/>
                <w:b/>
              </w:rPr>
            </w:pPr>
            <w:r w:rsidRPr="00BD5BB8">
              <w:rPr>
                <w:rFonts w:ascii="Times New Roman" w:hAnsi="Times New Roman" w:cs="Times New Roman"/>
                <w:b/>
                <w:sz w:val="24"/>
                <w:szCs w:val="24"/>
              </w:rPr>
              <w:t xml:space="preserve">ЗАКЛЮЧЕНИЕ </w:t>
            </w:r>
          </w:p>
        </w:tc>
        <w:tc>
          <w:tcPr>
            <w:tcW w:w="855" w:type="dxa"/>
            <w:tcBorders>
              <w:top w:val="single" w:sz="4" w:space="0" w:color="auto"/>
              <w:left w:val="single" w:sz="4" w:space="0" w:color="auto"/>
              <w:bottom w:val="single" w:sz="4" w:space="0" w:color="auto"/>
              <w:right w:val="single" w:sz="4" w:space="0" w:color="auto"/>
            </w:tcBorders>
            <w:shd w:val="clear" w:color="auto" w:fill="auto"/>
            <w:vAlign w:val="bottom"/>
          </w:tcPr>
          <w:p w:rsidR="005F2097" w:rsidRPr="00BD5BB8" w:rsidRDefault="00BD5BB8" w:rsidP="005F2097">
            <w:pPr>
              <w:spacing w:after="0" w:line="240" w:lineRule="auto"/>
              <w:jc w:val="center"/>
              <w:rPr>
                <w:rFonts w:ascii="Times New Roman" w:hAnsi="Times New Roman" w:cs="Times New Roman"/>
                <w:sz w:val="24"/>
                <w:szCs w:val="24"/>
              </w:rPr>
            </w:pPr>
            <w:r w:rsidRPr="00BD5BB8">
              <w:rPr>
                <w:rFonts w:ascii="Times New Roman" w:hAnsi="Times New Roman" w:cs="Times New Roman"/>
                <w:sz w:val="24"/>
                <w:szCs w:val="24"/>
              </w:rPr>
              <w:t>84</w:t>
            </w:r>
          </w:p>
        </w:tc>
      </w:tr>
    </w:tbl>
    <w:p w:rsidR="005F2097" w:rsidRPr="00BD5BB8" w:rsidRDefault="005F2097" w:rsidP="005F2097">
      <w:pPr>
        <w:spacing w:after="0" w:line="240" w:lineRule="auto"/>
        <w:jc w:val="both"/>
        <w:rPr>
          <w:rFonts w:ascii="Times New Roman" w:hAnsi="Times New Roman" w:cs="Times New Roman"/>
          <w:b/>
          <w:sz w:val="24"/>
          <w:szCs w:val="24"/>
        </w:rPr>
      </w:pPr>
    </w:p>
    <w:p w:rsidR="005F2097" w:rsidRPr="00BD5BB8" w:rsidRDefault="005F2097" w:rsidP="005F2097">
      <w:pPr>
        <w:rPr>
          <w:rFonts w:ascii="Times New Roman" w:hAnsi="Times New Roman" w:cs="Times New Roman"/>
          <w:b/>
          <w:sz w:val="24"/>
          <w:szCs w:val="24"/>
        </w:rPr>
      </w:pPr>
      <w:r w:rsidRPr="00BD5BB8">
        <w:rPr>
          <w:rFonts w:ascii="Times New Roman" w:hAnsi="Times New Roman" w:cs="Times New Roman"/>
          <w:b/>
          <w:sz w:val="24"/>
          <w:szCs w:val="24"/>
        </w:rPr>
        <w:br w:type="page"/>
      </w:r>
    </w:p>
    <w:p w:rsidR="005F2097" w:rsidRPr="00BD5BB8" w:rsidRDefault="005F2097" w:rsidP="005F2097">
      <w:pPr>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lastRenderedPageBreak/>
        <w:t>ВЪВЕДЕНИЕ</w:t>
      </w:r>
    </w:p>
    <w:p w:rsidR="005F2097" w:rsidRPr="00BD5BB8" w:rsidRDefault="005F2097" w:rsidP="005F2097">
      <w:pPr>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sz w:val="24"/>
          <w:szCs w:val="24"/>
        </w:rPr>
        <w:t xml:space="preserve">Според официалните публикации на ООН населението в света застарява. Само за десет години </w:t>
      </w: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 xml:space="preserve">от 2000 г. до 2010 г. </w:t>
      </w:r>
      <w:r w:rsidRPr="00BD5BB8">
        <w:rPr>
          <w:rFonts w:ascii="Times New Roman" w:hAnsi="Times New Roman" w:cs="Times New Roman"/>
          <w:color w:val="333333"/>
          <w:sz w:val="24"/>
          <w:szCs w:val="24"/>
        </w:rPr>
        <w:t xml:space="preserve">броят на хората в световен мащаб над 60-годишна възраст се е увеличил със 100 милиона. </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 xml:space="preserve">Застаряването засяга всички части на света, но най-застарели са развитите държави. </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Степента на застаряване е без паралел в човешката история в световен мащаб. Обезпокояваща е и една нова тенденция: паралелно с бързо растящия брой на възрастните, намалява броят на децата под 15 години, както и броят на хората в трудоспособна възраст (15-59 години). В световен мащаб броят на хората над 60 години се очаква да надхвърли броя на децата през 2045 година. В развитите части на света това се е случило още през 1998 година.</w:t>
      </w:r>
    </w:p>
    <w:p w:rsidR="005F2097" w:rsidRPr="00BD5BB8" w:rsidRDefault="005F2097" w:rsidP="005F2097">
      <w:pPr>
        <w:spacing w:after="0" w:line="240" w:lineRule="auto"/>
        <w:ind w:firstLine="709"/>
        <w:jc w:val="both"/>
        <w:rPr>
          <w:rFonts w:ascii="Times New Roman" w:hAnsi="Times New Roman" w:cs="Times New Roman"/>
          <w:b/>
          <w:bCs/>
          <w:color w:val="333333"/>
          <w:sz w:val="24"/>
          <w:szCs w:val="24"/>
        </w:rPr>
      </w:pPr>
      <w:r w:rsidRPr="00BD5BB8">
        <w:rPr>
          <w:rFonts w:ascii="Times New Roman" w:hAnsi="Times New Roman" w:cs="Times New Roman"/>
          <w:color w:val="333333"/>
          <w:sz w:val="24"/>
          <w:szCs w:val="24"/>
        </w:rPr>
        <w:t xml:space="preserve">Главната причина за тези процеси е спадът в раждаемостта, което се е превърнало в универсален проблем. Налага се мнението, че раждаемостта едва ли някога ще се върне на високите си нива от миналото. </w:t>
      </w:r>
      <w:r w:rsidRPr="00BD5BB8">
        <w:rPr>
          <w:rFonts w:ascii="Times New Roman" w:hAnsi="Times New Roman" w:cs="Times New Roman"/>
          <w:b/>
          <w:bCs/>
          <w:color w:val="333333"/>
          <w:sz w:val="24"/>
          <w:szCs w:val="24"/>
        </w:rPr>
        <w:t>В този смисъл промените в демографската структура на света са квалифицирани като необратими.</w:t>
      </w:r>
    </w:p>
    <w:p w:rsidR="005F2097" w:rsidRPr="00BD5BB8" w:rsidRDefault="005F2097" w:rsidP="005F2097">
      <w:pPr>
        <w:spacing w:after="0" w:line="240" w:lineRule="auto"/>
        <w:ind w:firstLine="709"/>
        <w:jc w:val="both"/>
        <w:rPr>
          <w:rFonts w:ascii="Times New Roman" w:hAnsi="Times New Roman" w:cs="Times New Roman"/>
          <w:b/>
          <w:color w:val="333333"/>
          <w:sz w:val="24"/>
          <w:szCs w:val="24"/>
        </w:rPr>
      </w:pPr>
      <w:r w:rsidRPr="00BD5BB8">
        <w:rPr>
          <w:rFonts w:ascii="Times New Roman" w:hAnsi="Times New Roman" w:cs="Times New Roman"/>
          <w:b/>
          <w:color w:val="333333"/>
          <w:sz w:val="24"/>
          <w:szCs w:val="24"/>
        </w:rPr>
        <w:t xml:space="preserve"> Застаряването е процес с дълбоки последици. То засяга всички аспекти на икономическия и социалния живот.</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b/>
          <w:bCs/>
          <w:color w:val="333333"/>
          <w:sz w:val="24"/>
          <w:szCs w:val="24"/>
        </w:rPr>
        <w:t>Степента на застаряване е различна за различните региони и държави.</w:t>
      </w:r>
      <w:r w:rsidRPr="00BD5BB8">
        <w:rPr>
          <w:rFonts w:ascii="Times New Roman" w:hAnsi="Times New Roman" w:cs="Times New Roman"/>
          <w:color w:val="333333"/>
          <w:sz w:val="24"/>
          <w:szCs w:val="24"/>
        </w:rPr>
        <w:t xml:space="preserve"> Европа е сред най-застарелите части на света, а Южна Европа има значително по-застаряло население в сравнение със средната възраст за Източна Европа.</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В развитите държави всеки пети е на повече от 60 години, а до 2050 година това ще важи за всеки трети. Нараства и броят на хората на над 80-годишна възраст. В момента броят им расте с по 4% на година, като тенденцията е към покачване. Между развиващите се и развитите държави все още има големи разлики, но според оценки на експерти, до средата на 21 век развиващият се свят ще бъде също толкова застарял, колкото са развитите страни в момента.</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bookmarkStart w:id="0" w:name="_GoBack"/>
      <w:bookmarkEnd w:id="0"/>
      <w:r w:rsidRPr="00BD5BB8">
        <w:rPr>
          <w:rFonts w:ascii="Times New Roman" w:hAnsi="Times New Roman" w:cs="Times New Roman"/>
          <w:color w:val="333333"/>
          <w:sz w:val="24"/>
          <w:szCs w:val="24"/>
        </w:rPr>
        <w:t>Ако се възприеме идеята за фазите на демографския преход, вкл.:</w:t>
      </w:r>
    </w:p>
    <w:p w:rsidR="005F2097" w:rsidRPr="00BD5BB8" w:rsidRDefault="005F2097" w:rsidP="00902CE2">
      <w:pPr>
        <w:pStyle w:val="ListParagraph"/>
        <w:numPr>
          <w:ilvl w:val="0"/>
          <w:numId w:val="8"/>
        </w:numPr>
        <w:ind w:left="0" w:firstLine="709"/>
        <w:jc w:val="both"/>
        <w:rPr>
          <w:color w:val="333333"/>
        </w:rPr>
      </w:pPr>
      <w:r w:rsidRPr="00BD5BB8">
        <w:rPr>
          <w:color w:val="333333"/>
        </w:rPr>
        <w:t>Първа фаза – висока раждаемост – висока смъртност – нисък естествен прираст (края на 18-ти век за развитите страни);</w:t>
      </w:r>
    </w:p>
    <w:p w:rsidR="00902CE2" w:rsidRPr="00BD5BB8" w:rsidRDefault="005F2097" w:rsidP="00902CE2">
      <w:pPr>
        <w:numPr>
          <w:ilvl w:val="0"/>
          <w:numId w:val="8"/>
        </w:numPr>
        <w:spacing w:after="0" w:line="240" w:lineRule="auto"/>
        <w:ind w:left="0" w:firstLine="709"/>
        <w:contextualSpacing/>
        <w:jc w:val="both"/>
        <w:rPr>
          <w:rFonts w:ascii="Times New Roman" w:eastAsia="Times New Roman" w:hAnsi="Times New Roman" w:cs="Times New Roman"/>
          <w:color w:val="333333"/>
          <w:sz w:val="24"/>
          <w:szCs w:val="24"/>
          <w:lang w:eastAsia="bg-BG"/>
        </w:rPr>
      </w:pPr>
      <w:r w:rsidRPr="00BD5BB8">
        <w:rPr>
          <w:rFonts w:ascii="Times New Roman" w:eastAsia="Times New Roman" w:hAnsi="Times New Roman" w:cs="Times New Roman"/>
          <w:color w:val="333333"/>
          <w:sz w:val="24"/>
          <w:szCs w:val="24"/>
          <w:lang w:eastAsia="bg-BG"/>
        </w:rPr>
        <w:t>Втора фаза – висока раждаемост – намаление на смъртността – положителен естествен прираст (ок. средата на 20-ти век);</w:t>
      </w:r>
    </w:p>
    <w:p w:rsidR="005F2097" w:rsidRPr="00BD5BB8" w:rsidRDefault="005F2097" w:rsidP="00902CE2">
      <w:pPr>
        <w:numPr>
          <w:ilvl w:val="0"/>
          <w:numId w:val="8"/>
        </w:numPr>
        <w:spacing w:after="0" w:line="240" w:lineRule="auto"/>
        <w:ind w:left="0" w:firstLine="709"/>
        <w:contextualSpacing/>
        <w:jc w:val="both"/>
        <w:rPr>
          <w:rFonts w:ascii="Times New Roman" w:eastAsia="Times New Roman" w:hAnsi="Times New Roman" w:cs="Times New Roman"/>
          <w:color w:val="333333"/>
          <w:sz w:val="24"/>
          <w:szCs w:val="24"/>
          <w:lang w:eastAsia="bg-BG"/>
        </w:rPr>
      </w:pPr>
      <w:r w:rsidRPr="00BD5BB8">
        <w:rPr>
          <w:rFonts w:ascii="Times New Roman" w:hAnsi="Times New Roman" w:cs="Times New Roman"/>
          <w:color w:val="333333"/>
          <w:sz w:val="24"/>
          <w:szCs w:val="24"/>
        </w:rPr>
        <w:t>Трета фаза – спад и ниска раждаемост – намаление на смъртността – отрицателен естествен прираст (втората половина на 20-ти век и началото на 21-ви век);</w:t>
      </w:r>
    </w:p>
    <w:p w:rsidR="005F2097" w:rsidRPr="00BD5BB8" w:rsidRDefault="005F2097" w:rsidP="00902CE2">
      <w:pPr>
        <w:numPr>
          <w:ilvl w:val="0"/>
          <w:numId w:val="7"/>
        </w:numPr>
        <w:spacing w:after="0" w:line="240" w:lineRule="auto"/>
        <w:ind w:left="0" w:firstLine="709"/>
        <w:contextualSpacing/>
        <w:jc w:val="both"/>
        <w:rPr>
          <w:rFonts w:ascii="Times New Roman" w:eastAsia="Times New Roman" w:hAnsi="Times New Roman" w:cs="Times New Roman"/>
          <w:color w:val="333333"/>
          <w:sz w:val="24"/>
          <w:szCs w:val="24"/>
          <w:lang w:eastAsia="bg-BG"/>
        </w:rPr>
      </w:pPr>
      <w:r w:rsidRPr="00BD5BB8">
        <w:rPr>
          <w:rFonts w:ascii="Times New Roman" w:hAnsi="Times New Roman" w:cs="Times New Roman"/>
          <w:color w:val="333333"/>
          <w:sz w:val="24"/>
          <w:szCs w:val="24"/>
        </w:rPr>
        <w:t>Четвъ</w:t>
      </w:r>
      <w:r w:rsidRPr="00BD5BB8">
        <w:rPr>
          <w:rFonts w:ascii="Times New Roman" w:eastAsia="Times New Roman" w:hAnsi="Times New Roman" w:cs="Times New Roman"/>
          <w:color w:val="333333"/>
          <w:sz w:val="24"/>
          <w:szCs w:val="24"/>
          <w:lang w:eastAsia="bg-BG"/>
        </w:rPr>
        <w:t>рта фаза – очаквано, но доста хипотетично и съмнително равновесие между раждаемост и смъртност – нисък естествен прираст (втората половина на 21-ви век),</w:t>
      </w:r>
    </w:p>
    <w:p w:rsidR="005F2097" w:rsidRPr="00BD5BB8" w:rsidRDefault="005F2097" w:rsidP="00A0180D">
      <w:pPr>
        <w:spacing w:after="0" w:line="240" w:lineRule="auto"/>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може да се установи, че демографските процеси в различните страни по света имат вълнообразен характер и различна скорост, но сходна посока на развитие.</w:t>
      </w:r>
    </w:p>
    <w:p w:rsidR="005F2097" w:rsidRPr="00BD5BB8" w:rsidRDefault="005F2097" w:rsidP="005F2097">
      <w:pPr>
        <w:spacing w:after="0" w:line="240" w:lineRule="auto"/>
        <w:ind w:firstLine="709"/>
        <w:jc w:val="both"/>
        <w:rPr>
          <w:rFonts w:ascii="Times New Roman" w:hAnsi="Times New Roman" w:cs="Times New Roman"/>
          <w:b/>
          <w:color w:val="333333"/>
          <w:sz w:val="24"/>
          <w:szCs w:val="24"/>
        </w:rPr>
      </w:pPr>
      <w:r w:rsidRPr="00BD5BB8">
        <w:rPr>
          <w:rFonts w:ascii="Times New Roman" w:hAnsi="Times New Roman" w:cs="Times New Roman"/>
          <w:b/>
          <w:color w:val="333333"/>
          <w:sz w:val="24"/>
          <w:szCs w:val="24"/>
        </w:rPr>
        <w:t xml:space="preserve">Настоящата трета фаза на демографски преход се характеризира със стареене на населенията, изразяващо се в постоянно намаляване на дела на младите поколения и нарастване на дела на възрастните.  </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Подобна структура на населението оказва силен натиск върху публичните финанси, върху профила и функционирането на пазара на труда, пенсионната и здравната системи, системата на образованието, системата за социални грижи и др.</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lastRenderedPageBreak/>
        <w:t>Подобна структура на населенията поражда големите миграционни потоци,  загуба на население от едни страни в полза на други чрез миграциите, забавяне на интеграционните процеси, забавяне на темповете на икономическото развитие и икономическия растеж.</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 xml:space="preserve">В своя лекция при получаването на Нобеловата премия (Becker, G. (1992). The Economic Way of Looking at Life, Nobel Lecture, December 9, 1992, Economic Sciences 1992, Chicago, IL: University of Chicago, Department of Economics) Гари Бекер привлича вниманието върху нарастването на производителността като исторически процес, с което се създават все повече възможности за доходи извън семейството и домакинството. В резултат на това се оказва, че отделянето на време за раждане и отглеждане на децата може да е за сметка на отказ от доходи, което всъщност означава относително оскъпяване на раждаемостта паралелно с повишаването на производителността. </w:t>
      </w: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t>Отказът или отлагането на раждането на първото дете в по-висока възраст на майката, заради придобиване на образование, кариерно и професионално развитие, съчетани със стремеж за придобиване на финансова независимост и самостоятелност, е един от мощните фактори, предопределящи застаряването на населенията. Други фактори с подобно въздействие са миграциите и удължаването на живота на хората.</w:t>
      </w:r>
    </w:p>
    <w:p w:rsidR="005F2097" w:rsidRPr="00D533D3" w:rsidRDefault="005F2097" w:rsidP="005F2097">
      <w:pPr>
        <w:spacing w:after="0" w:line="240" w:lineRule="auto"/>
        <w:ind w:firstLine="709"/>
        <w:jc w:val="both"/>
        <w:rPr>
          <w:rFonts w:ascii="Times New Roman" w:hAnsi="Times New Roman" w:cs="Times New Roman"/>
          <w:color w:val="333333"/>
          <w:sz w:val="24"/>
          <w:szCs w:val="24"/>
        </w:rPr>
      </w:pPr>
      <w:r w:rsidRPr="00D533D3">
        <w:rPr>
          <w:rFonts w:ascii="Times New Roman" w:hAnsi="Times New Roman" w:cs="Times New Roman"/>
          <w:color w:val="333333"/>
          <w:sz w:val="24"/>
          <w:szCs w:val="24"/>
        </w:rPr>
        <w:t xml:space="preserve">С предприемането на адекватни политики и навременни мерки може да се повлияе върху действието на тези фактори. </w:t>
      </w:r>
    </w:p>
    <w:p w:rsidR="005F2097" w:rsidRPr="00BD5BB8" w:rsidRDefault="005F2097" w:rsidP="005F2097">
      <w:pPr>
        <w:spacing w:after="0" w:line="240" w:lineRule="auto"/>
        <w:ind w:firstLine="708"/>
        <w:jc w:val="both"/>
        <w:rPr>
          <w:rFonts w:ascii="Times New Roman" w:hAnsi="Times New Roman" w:cs="Times New Roman"/>
          <w:b/>
          <w:sz w:val="24"/>
          <w:szCs w:val="24"/>
        </w:rPr>
      </w:pPr>
      <w:r w:rsidRPr="00BD5BB8">
        <w:rPr>
          <w:rFonts w:ascii="Times New Roman" w:hAnsi="Times New Roman" w:cs="Times New Roman"/>
          <w:b/>
          <w:sz w:val="24"/>
          <w:szCs w:val="24"/>
        </w:rPr>
        <w:t>Настоящият Доклад за отразяване на Националната концепция за насърчаване на активния живот на възрастните хора в България (2012 – 2030 г.) в секторните политики обхваща периода 2017</w:t>
      </w:r>
      <w:r w:rsidR="00D533D3">
        <w:rPr>
          <w:rFonts w:ascii="Times New Roman" w:hAnsi="Times New Roman" w:cs="Times New Roman"/>
          <w:b/>
          <w:sz w:val="24"/>
          <w:szCs w:val="24"/>
        </w:rPr>
        <w:t xml:space="preserve"> </w:t>
      </w:r>
      <w:r w:rsidR="00C17FC4" w:rsidRPr="00BD5BB8">
        <w:rPr>
          <w:rFonts w:ascii="Times New Roman" w:hAnsi="Times New Roman" w:cs="Times New Roman"/>
          <w:b/>
          <w:sz w:val="24"/>
          <w:szCs w:val="24"/>
        </w:rPr>
        <w:t>–</w:t>
      </w:r>
      <w:r w:rsidR="00D533D3">
        <w:rPr>
          <w:rFonts w:ascii="Times New Roman" w:hAnsi="Times New Roman" w:cs="Times New Roman"/>
          <w:b/>
          <w:sz w:val="24"/>
          <w:szCs w:val="24"/>
        </w:rPr>
        <w:t xml:space="preserve"> </w:t>
      </w:r>
      <w:r w:rsidRPr="00BD5BB8">
        <w:rPr>
          <w:rFonts w:ascii="Times New Roman" w:hAnsi="Times New Roman" w:cs="Times New Roman"/>
          <w:b/>
          <w:sz w:val="24"/>
          <w:szCs w:val="24"/>
        </w:rPr>
        <w:t>2018 г. Докладът представя основните демографски тенденции, предизвикателства и предприети действия от страна на отговорните институции в отговор на застаряването на населението и за насърчаване на активния живот на възрастните хора.</w:t>
      </w:r>
    </w:p>
    <w:p w:rsidR="005F2097" w:rsidRPr="00BD5BB8" w:rsidRDefault="005F2097" w:rsidP="005F2097">
      <w:pPr>
        <w:rPr>
          <w:rFonts w:ascii="Times New Roman" w:hAnsi="Times New Roman" w:cs="Times New Roman"/>
          <w:b/>
          <w:sz w:val="24"/>
          <w:szCs w:val="24"/>
        </w:rPr>
      </w:pPr>
      <w:r w:rsidRPr="00BD5BB8">
        <w:rPr>
          <w:rFonts w:ascii="Times New Roman" w:hAnsi="Times New Roman" w:cs="Times New Roman"/>
          <w:b/>
          <w:sz w:val="24"/>
          <w:szCs w:val="24"/>
        </w:rPr>
        <w:br w:type="page"/>
      </w:r>
    </w:p>
    <w:p w:rsidR="005F2097" w:rsidRPr="00BD5BB8" w:rsidRDefault="005F2097" w:rsidP="005F2097">
      <w:pPr>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lastRenderedPageBreak/>
        <w:t>ЧАСТ 1 - ТЕНДЕНЦИИ В РАЗВИТИЕТО НА ДЕМОГРАФСКИТЕ ПРОЦЕСИ</w:t>
      </w:r>
    </w:p>
    <w:p w:rsidR="005F2097" w:rsidRPr="00BD5BB8" w:rsidRDefault="005F2097" w:rsidP="005F2097">
      <w:pPr>
        <w:spacing w:after="0" w:line="240" w:lineRule="auto"/>
        <w:jc w:val="both"/>
        <w:rPr>
          <w:rFonts w:ascii="Times New Roman" w:hAnsi="Times New Roman" w:cs="Times New Roman"/>
          <w:b/>
          <w:sz w:val="24"/>
          <w:szCs w:val="24"/>
        </w:rPr>
      </w:pPr>
    </w:p>
    <w:p w:rsidR="005F2097" w:rsidRPr="00BD5BB8" w:rsidRDefault="005F2097" w:rsidP="00E7186B">
      <w:pPr>
        <w:numPr>
          <w:ilvl w:val="1"/>
          <w:numId w:val="5"/>
        </w:numPr>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Демографските процеси в света </w:t>
      </w:r>
      <w:r w:rsidRPr="00BD5BB8">
        <w:rPr>
          <w:rFonts w:ascii="Times New Roman" w:eastAsia="Times New Roman" w:hAnsi="Times New Roman" w:cs="Times New Roman"/>
          <w:b/>
          <w:sz w:val="28"/>
          <w:szCs w:val="28"/>
          <w:vertAlign w:val="superscript"/>
          <w:lang w:eastAsia="bg-BG"/>
        </w:rPr>
        <w:footnoteReference w:id="1"/>
      </w:r>
    </w:p>
    <w:p w:rsidR="005F2097" w:rsidRPr="00BD5BB8" w:rsidRDefault="005F2097" w:rsidP="005F2097">
      <w:pPr>
        <w:spacing w:after="0" w:line="240" w:lineRule="auto"/>
        <w:jc w:val="both"/>
        <w:rPr>
          <w:rFonts w:ascii="Times New Roman" w:hAnsi="Times New Roman" w:cs="Times New Roman"/>
          <w:sz w:val="24"/>
          <w:szCs w:val="24"/>
        </w:rPr>
      </w:pPr>
    </w:p>
    <w:p w:rsidR="005F2097" w:rsidRPr="00BD5BB8" w:rsidRDefault="005F2097" w:rsidP="005F2097">
      <w:pPr>
        <w:keepNext/>
        <w:keepLines/>
        <w:spacing w:after="0" w:line="240" w:lineRule="auto"/>
        <w:ind w:firstLine="709"/>
        <w:jc w:val="both"/>
        <w:outlineLvl w:val="2"/>
        <w:rPr>
          <w:rFonts w:ascii="Times New Roman" w:eastAsiaTheme="majorEastAsia" w:hAnsi="Times New Roman" w:cs="Times New Roman"/>
          <w:bCs/>
          <w:color w:val="000000" w:themeColor="text1"/>
          <w:sz w:val="24"/>
          <w:szCs w:val="24"/>
        </w:rPr>
      </w:pPr>
      <w:r w:rsidRPr="00BD5BB8">
        <w:rPr>
          <w:rFonts w:ascii="Times New Roman" w:eastAsiaTheme="majorEastAsia" w:hAnsi="Times New Roman" w:cs="Times New Roman"/>
          <w:bCs/>
          <w:color w:val="000000" w:themeColor="text1"/>
          <w:sz w:val="24"/>
          <w:szCs w:val="24"/>
        </w:rPr>
        <w:t>През 1950 година броят на населението в света е около 2</w:t>
      </w:r>
      <w:r w:rsidR="00FB4291" w:rsidRPr="00BD5BB8">
        <w:rPr>
          <w:rFonts w:ascii="Times New Roman" w:eastAsiaTheme="majorEastAsia" w:hAnsi="Times New Roman" w:cs="Times New Roman"/>
          <w:bCs/>
          <w:color w:val="000000" w:themeColor="text1"/>
          <w:sz w:val="24"/>
          <w:szCs w:val="24"/>
        </w:rPr>
        <w:t>.</w:t>
      </w:r>
      <w:r w:rsidRPr="00BD5BB8">
        <w:rPr>
          <w:rFonts w:ascii="Times New Roman" w:eastAsiaTheme="majorEastAsia" w:hAnsi="Times New Roman" w:cs="Times New Roman"/>
          <w:bCs/>
          <w:color w:val="000000" w:themeColor="text1"/>
          <w:sz w:val="24"/>
          <w:szCs w:val="24"/>
        </w:rPr>
        <w:t>6 милиарда човека, през 1987 г. достига 5 милиарда човека, а през 1999 г. – 6 милиарда човека. Към средата на 2015 г. числеността на световното население вече е 7</w:t>
      </w:r>
      <w:r w:rsidR="00FB4291" w:rsidRPr="00BD5BB8">
        <w:rPr>
          <w:rFonts w:ascii="Times New Roman" w:eastAsiaTheme="majorEastAsia" w:hAnsi="Times New Roman" w:cs="Times New Roman"/>
          <w:bCs/>
          <w:color w:val="000000" w:themeColor="text1"/>
          <w:sz w:val="24"/>
          <w:szCs w:val="24"/>
        </w:rPr>
        <w:t>.</w:t>
      </w:r>
      <w:r w:rsidRPr="00BD5BB8">
        <w:rPr>
          <w:rFonts w:ascii="Times New Roman" w:eastAsiaTheme="majorEastAsia" w:hAnsi="Times New Roman" w:cs="Times New Roman"/>
          <w:bCs/>
          <w:color w:val="000000" w:themeColor="text1"/>
          <w:sz w:val="24"/>
          <w:szCs w:val="24"/>
        </w:rPr>
        <w:t>3 милиарда човека, а това означава, че за 12 години населението в света се е увеличило с 1 милиард човека.</w:t>
      </w:r>
    </w:p>
    <w:p w:rsidR="005F2097" w:rsidRPr="00BD5BB8" w:rsidRDefault="005F2097" w:rsidP="005F2097">
      <w:pPr>
        <w:keepNext/>
        <w:keepLines/>
        <w:spacing w:after="0" w:line="240" w:lineRule="auto"/>
        <w:outlineLvl w:val="2"/>
        <w:rPr>
          <w:rFonts w:ascii="Times New Roman" w:eastAsiaTheme="majorEastAsia" w:hAnsi="Times New Roman" w:cs="Times New Roman"/>
          <w:bCs/>
          <w:color w:val="4F81BD" w:themeColor="accent1"/>
          <w:sz w:val="24"/>
          <w:szCs w:val="24"/>
        </w:rPr>
      </w:pPr>
    </w:p>
    <w:p w:rsidR="005F2097" w:rsidRPr="00BD5BB8" w:rsidRDefault="005F2097" w:rsidP="005F2097">
      <w:pPr>
        <w:spacing w:after="0" w:line="240" w:lineRule="auto"/>
        <w:ind w:firstLine="709"/>
        <w:jc w:val="both"/>
        <w:rPr>
          <w:rFonts w:ascii="Times New Roman" w:eastAsia="Times New Roman" w:hAnsi="Times New Roman" w:cs="Times New Roman"/>
          <w:color w:val="000000" w:themeColor="text1"/>
          <w:sz w:val="24"/>
          <w:szCs w:val="24"/>
        </w:rPr>
      </w:pPr>
      <w:r w:rsidRPr="00BD5BB8">
        <w:rPr>
          <w:rFonts w:ascii="Times New Roman" w:eastAsia="Times New Roman" w:hAnsi="Times New Roman" w:cs="Times New Roman"/>
          <w:color w:val="000000" w:themeColor="text1"/>
          <w:sz w:val="24"/>
          <w:szCs w:val="24"/>
        </w:rPr>
        <w:t>Стремителният ръст на населението в много отношения е обусловен от увеличаването на броя на хората, доживяващи до репродуктивна възраст, а също от фактори, като увеличаване на показателя за фертилност, растящата урбанизация и увеличаването на мащабите на миграциите. Тези тенденции ще имат решаващо значение за следващите поколения.</w:t>
      </w:r>
    </w:p>
    <w:p w:rsidR="005F2097" w:rsidRPr="00BD5BB8" w:rsidRDefault="005F2097" w:rsidP="005F2097">
      <w:pPr>
        <w:spacing w:after="0" w:line="240" w:lineRule="auto"/>
        <w:ind w:firstLine="709"/>
        <w:rPr>
          <w:rFonts w:ascii="Times New Roman" w:eastAsia="Times New Roman" w:hAnsi="Times New Roman" w:cs="Times New Roman"/>
          <w:color w:val="000000" w:themeColor="text1"/>
          <w:sz w:val="24"/>
          <w:szCs w:val="24"/>
        </w:rPr>
      </w:pPr>
      <w:r w:rsidRPr="00BD5BB8">
        <w:rPr>
          <w:rFonts w:ascii="Times New Roman" w:eastAsia="Times New Roman" w:hAnsi="Times New Roman" w:cs="Times New Roman"/>
          <w:color w:val="000000" w:themeColor="text1"/>
          <w:sz w:val="24"/>
          <w:szCs w:val="24"/>
        </w:rPr>
        <w:t>През 201</w:t>
      </w:r>
      <w:r w:rsidR="00E82FA0" w:rsidRPr="00BD5BB8">
        <w:rPr>
          <w:rFonts w:ascii="Times New Roman" w:eastAsia="Times New Roman" w:hAnsi="Times New Roman" w:cs="Times New Roman"/>
          <w:color w:val="000000" w:themeColor="text1"/>
          <w:sz w:val="24"/>
          <w:szCs w:val="24"/>
        </w:rPr>
        <w:t>9</w:t>
      </w:r>
      <w:r w:rsidRPr="00BD5BB8">
        <w:rPr>
          <w:rFonts w:ascii="Times New Roman" w:eastAsia="Times New Roman" w:hAnsi="Times New Roman" w:cs="Times New Roman"/>
          <w:color w:val="000000" w:themeColor="text1"/>
          <w:sz w:val="24"/>
          <w:szCs w:val="24"/>
        </w:rPr>
        <w:t xml:space="preserve"> г. населението в света се разпределя по региони по следния начин:</w:t>
      </w:r>
    </w:p>
    <w:p w:rsidR="005F2097" w:rsidRPr="00BD5BB8" w:rsidRDefault="005F2097" w:rsidP="005F2097">
      <w:pPr>
        <w:spacing w:after="0" w:line="240" w:lineRule="auto"/>
        <w:jc w:val="center"/>
        <w:rPr>
          <w:rFonts w:ascii="Times New Roman" w:eastAsia="Times New Roman" w:hAnsi="Times New Roman" w:cs="Times New Roman"/>
          <w:b/>
          <w:color w:val="000000" w:themeColor="text1"/>
          <w:sz w:val="24"/>
          <w:szCs w:val="24"/>
        </w:rPr>
      </w:pPr>
    </w:p>
    <w:p w:rsidR="005F2097" w:rsidRPr="00BD5BB8" w:rsidRDefault="005F2097" w:rsidP="005F2097">
      <w:pPr>
        <w:spacing w:after="0" w:line="240" w:lineRule="auto"/>
        <w:jc w:val="center"/>
        <w:rPr>
          <w:rFonts w:ascii="Times New Roman" w:eastAsia="Times New Roman" w:hAnsi="Times New Roman" w:cs="Times New Roman"/>
          <w:b/>
          <w:color w:val="000000" w:themeColor="text1"/>
          <w:sz w:val="24"/>
          <w:szCs w:val="24"/>
        </w:rPr>
      </w:pPr>
      <w:r w:rsidRPr="00BD5BB8">
        <w:rPr>
          <w:rFonts w:ascii="Times New Roman" w:eastAsia="Times New Roman" w:hAnsi="Times New Roman" w:cs="Times New Roman"/>
          <w:b/>
          <w:color w:val="000000" w:themeColor="text1"/>
          <w:sz w:val="24"/>
          <w:szCs w:val="24"/>
        </w:rPr>
        <w:t>Таблица 1: Разпределение на световното население, 201</w:t>
      </w:r>
      <w:r w:rsidR="000811F8" w:rsidRPr="00BD5BB8">
        <w:rPr>
          <w:rFonts w:ascii="Times New Roman" w:eastAsia="Times New Roman" w:hAnsi="Times New Roman" w:cs="Times New Roman"/>
          <w:b/>
          <w:color w:val="000000" w:themeColor="text1"/>
          <w:sz w:val="24"/>
          <w:szCs w:val="24"/>
        </w:rPr>
        <w:t>9</w:t>
      </w:r>
      <w:r w:rsidRPr="00BD5BB8">
        <w:rPr>
          <w:rFonts w:ascii="Times New Roman" w:eastAsia="Times New Roman" w:hAnsi="Times New Roman" w:cs="Times New Roman"/>
          <w:b/>
          <w:color w:val="000000" w:themeColor="text1"/>
          <w:sz w:val="24"/>
          <w:szCs w:val="24"/>
        </w:rPr>
        <w:t xml:space="preserve"> г. </w:t>
      </w:r>
    </w:p>
    <w:tbl>
      <w:tblPr>
        <w:tblStyle w:val="TableGrid"/>
        <w:tblW w:w="9464" w:type="dxa"/>
        <w:tblLook w:val="04A0" w:firstRow="1" w:lastRow="0" w:firstColumn="1" w:lastColumn="0" w:noHBand="0" w:noVBand="1"/>
      </w:tblPr>
      <w:tblGrid>
        <w:gridCol w:w="5070"/>
        <w:gridCol w:w="2268"/>
        <w:gridCol w:w="2126"/>
      </w:tblGrid>
      <w:tr w:rsidR="005F2097" w:rsidRPr="00BD5BB8" w:rsidTr="00C362DE">
        <w:tc>
          <w:tcPr>
            <w:tcW w:w="5070" w:type="dxa"/>
            <w:shd w:val="clear" w:color="auto" w:fill="92D050"/>
            <w:vAlign w:val="center"/>
          </w:tcPr>
          <w:p w:rsidR="005F2097" w:rsidRPr="00BD5BB8" w:rsidRDefault="005F2097" w:rsidP="00C362DE">
            <w:pPr>
              <w:jc w:val="center"/>
              <w:rPr>
                <w:rFonts w:ascii="Times New Roman" w:eastAsia="Times New Roman" w:hAnsi="Times New Roman" w:cs="Times New Roman"/>
                <w:b/>
                <w:color w:val="333333"/>
              </w:rPr>
            </w:pPr>
            <w:r w:rsidRPr="00BD5BB8">
              <w:rPr>
                <w:rFonts w:ascii="Times New Roman" w:eastAsia="Times New Roman" w:hAnsi="Times New Roman" w:cs="Times New Roman"/>
                <w:b/>
                <w:color w:val="333333"/>
              </w:rPr>
              <w:t>Континенти</w:t>
            </w:r>
          </w:p>
        </w:tc>
        <w:tc>
          <w:tcPr>
            <w:tcW w:w="2268" w:type="dxa"/>
            <w:shd w:val="clear" w:color="auto" w:fill="92D050"/>
            <w:vAlign w:val="center"/>
          </w:tcPr>
          <w:p w:rsidR="005F2097" w:rsidRPr="00BD5BB8" w:rsidRDefault="005F2097" w:rsidP="00C362DE">
            <w:pPr>
              <w:jc w:val="center"/>
              <w:rPr>
                <w:rFonts w:ascii="Times New Roman" w:eastAsia="Times New Roman" w:hAnsi="Times New Roman" w:cs="Times New Roman"/>
                <w:b/>
                <w:color w:val="333333"/>
              </w:rPr>
            </w:pPr>
            <w:r w:rsidRPr="00BD5BB8">
              <w:rPr>
                <w:rFonts w:ascii="Times New Roman" w:eastAsia="Times New Roman" w:hAnsi="Times New Roman" w:cs="Times New Roman"/>
                <w:b/>
                <w:color w:val="333333"/>
              </w:rPr>
              <w:t>Брой на населението</w:t>
            </w:r>
          </w:p>
        </w:tc>
        <w:tc>
          <w:tcPr>
            <w:tcW w:w="2126" w:type="dxa"/>
            <w:shd w:val="clear" w:color="auto" w:fill="92D050"/>
            <w:vAlign w:val="center"/>
          </w:tcPr>
          <w:p w:rsidR="005F2097" w:rsidRPr="00BD5BB8" w:rsidRDefault="005F2097" w:rsidP="00C362DE">
            <w:pPr>
              <w:jc w:val="center"/>
              <w:rPr>
                <w:rFonts w:ascii="Times New Roman" w:eastAsia="Times New Roman" w:hAnsi="Times New Roman" w:cs="Times New Roman"/>
                <w:b/>
                <w:color w:val="333333"/>
              </w:rPr>
            </w:pPr>
            <w:r w:rsidRPr="00BD5BB8">
              <w:rPr>
                <w:rFonts w:ascii="Times New Roman" w:eastAsia="Times New Roman" w:hAnsi="Times New Roman" w:cs="Times New Roman"/>
                <w:b/>
                <w:color w:val="333333"/>
              </w:rPr>
              <w:t>Относителен дял</w:t>
            </w:r>
          </w:p>
        </w:tc>
      </w:tr>
      <w:tr w:rsidR="005F2097" w:rsidRPr="00BD5BB8" w:rsidTr="005F2097">
        <w:tc>
          <w:tcPr>
            <w:tcW w:w="5070" w:type="dxa"/>
          </w:tcPr>
          <w:p w:rsidR="005F2097" w:rsidRPr="00BD5BB8" w:rsidRDefault="005F2097" w:rsidP="005F2097">
            <w:pPr>
              <w:rPr>
                <w:rFonts w:ascii="Times New Roman" w:eastAsia="Times New Roman" w:hAnsi="Times New Roman" w:cs="Times New Roman"/>
                <w:color w:val="333333"/>
              </w:rPr>
            </w:pPr>
            <w:r w:rsidRPr="00BD5BB8">
              <w:rPr>
                <w:rFonts w:ascii="Times New Roman" w:eastAsia="Times New Roman" w:hAnsi="Times New Roman" w:cs="Times New Roman"/>
                <w:color w:val="333333"/>
              </w:rPr>
              <w:t xml:space="preserve">Азия  </w:t>
            </w:r>
          </w:p>
        </w:tc>
        <w:tc>
          <w:tcPr>
            <w:tcW w:w="2268" w:type="dxa"/>
          </w:tcPr>
          <w:p w:rsidR="005F2097" w:rsidRPr="00BD5BB8" w:rsidRDefault="000811F8" w:rsidP="00C17FC4">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4</w:t>
            </w:r>
            <w:r w:rsidR="00C17FC4" w:rsidRPr="00BD5BB8">
              <w:rPr>
                <w:rFonts w:ascii="Times New Roman" w:eastAsia="Times New Roman" w:hAnsi="Times New Roman" w:cs="Times New Roman"/>
                <w:color w:val="333333"/>
              </w:rPr>
              <w:t>.</w:t>
            </w:r>
            <w:r w:rsidRPr="00BD5BB8">
              <w:rPr>
                <w:rFonts w:ascii="Times New Roman" w:eastAsia="Times New Roman" w:hAnsi="Times New Roman" w:cs="Times New Roman"/>
                <w:color w:val="333333"/>
              </w:rPr>
              <w:t>7</w:t>
            </w:r>
            <w:r w:rsidR="005F2097" w:rsidRPr="00BD5BB8">
              <w:rPr>
                <w:rFonts w:ascii="Times New Roman" w:eastAsia="Times New Roman" w:hAnsi="Times New Roman" w:cs="Times New Roman"/>
                <w:color w:val="333333"/>
              </w:rPr>
              <w:t xml:space="preserve"> млрд.</w:t>
            </w:r>
          </w:p>
        </w:tc>
        <w:tc>
          <w:tcPr>
            <w:tcW w:w="2126" w:type="dxa"/>
          </w:tcPr>
          <w:p w:rsidR="005F2097" w:rsidRPr="00BD5BB8" w:rsidRDefault="000811F8" w:rsidP="005F2097">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61</w:t>
            </w:r>
            <w:r w:rsidR="005F2097" w:rsidRPr="00BD5BB8">
              <w:rPr>
                <w:rFonts w:ascii="Times New Roman" w:eastAsia="Times New Roman" w:hAnsi="Times New Roman" w:cs="Times New Roman"/>
                <w:color w:val="333333"/>
              </w:rPr>
              <w:t>%</w:t>
            </w:r>
          </w:p>
        </w:tc>
      </w:tr>
      <w:tr w:rsidR="005F2097" w:rsidRPr="00BD5BB8" w:rsidTr="005F2097">
        <w:tc>
          <w:tcPr>
            <w:tcW w:w="5070" w:type="dxa"/>
          </w:tcPr>
          <w:p w:rsidR="005F2097" w:rsidRPr="00BD5BB8" w:rsidRDefault="005F2097" w:rsidP="005F2097">
            <w:pPr>
              <w:rPr>
                <w:rFonts w:ascii="Times New Roman" w:eastAsia="Times New Roman" w:hAnsi="Times New Roman" w:cs="Times New Roman"/>
                <w:color w:val="333333"/>
              </w:rPr>
            </w:pPr>
            <w:r w:rsidRPr="00BD5BB8">
              <w:rPr>
                <w:rFonts w:ascii="Times New Roman" w:eastAsia="Times New Roman" w:hAnsi="Times New Roman" w:cs="Times New Roman"/>
                <w:color w:val="333333"/>
              </w:rPr>
              <w:t xml:space="preserve">Африка  </w:t>
            </w:r>
          </w:p>
        </w:tc>
        <w:tc>
          <w:tcPr>
            <w:tcW w:w="2268" w:type="dxa"/>
          </w:tcPr>
          <w:p w:rsidR="005F2097" w:rsidRPr="00BD5BB8" w:rsidRDefault="000811F8" w:rsidP="00C17FC4">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1</w:t>
            </w:r>
            <w:r w:rsidR="00C17FC4" w:rsidRPr="00BD5BB8">
              <w:rPr>
                <w:rFonts w:ascii="Times New Roman" w:eastAsia="Times New Roman" w:hAnsi="Times New Roman" w:cs="Times New Roman"/>
                <w:color w:val="333333"/>
              </w:rPr>
              <w:t>.</w:t>
            </w:r>
            <w:r w:rsidRPr="00BD5BB8">
              <w:rPr>
                <w:rFonts w:ascii="Times New Roman" w:eastAsia="Times New Roman" w:hAnsi="Times New Roman" w:cs="Times New Roman"/>
                <w:color w:val="333333"/>
              </w:rPr>
              <w:t>3</w:t>
            </w:r>
            <w:r w:rsidR="005F2097" w:rsidRPr="00BD5BB8">
              <w:rPr>
                <w:rFonts w:ascii="Times New Roman" w:eastAsia="Times New Roman" w:hAnsi="Times New Roman" w:cs="Times New Roman"/>
                <w:color w:val="333333"/>
              </w:rPr>
              <w:t xml:space="preserve"> млрд.</w:t>
            </w:r>
          </w:p>
        </w:tc>
        <w:tc>
          <w:tcPr>
            <w:tcW w:w="2126" w:type="dxa"/>
          </w:tcPr>
          <w:p w:rsidR="005F2097" w:rsidRPr="00BD5BB8" w:rsidRDefault="005F2097" w:rsidP="000811F8">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1</w:t>
            </w:r>
            <w:r w:rsidR="000811F8" w:rsidRPr="00BD5BB8">
              <w:rPr>
                <w:rFonts w:ascii="Times New Roman" w:eastAsia="Times New Roman" w:hAnsi="Times New Roman" w:cs="Times New Roman"/>
                <w:color w:val="333333"/>
              </w:rPr>
              <w:t>7</w:t>
            </w:r>
            <w:r w:rsidRPr="00BD5BB8">
              <w:rPr>
                <w:rFonts w:ascii="Times New Roman" w:eastAsia="Times New Roman" w:hAnsi="Times New Roman" w:cs="Times New Roman"/>
                <w:color w:val="333333"/>
              </w:rPr>
              <w:t>%</w:t>
            </w:r>
          </w:p>
        </w:tc>
      </w:tr>
      <w:tr w:rsidR="005F2097" w:rsidRPr="00BD5BB8" w:rsidTr="005F2097">
        <w:tc>
          <w:tcPr>
            <w:tcW w:w="5070" w:type="dxa"/>
          </w:tcPr>
          <w:p w:rsidR="005F2097" w:rsidRPr="00BD5BB8" w:rsidRDefault="005F2097" w:rsidP="005F2097">
            <w:pPr>
              <w:rPr>
                <w:rFonts w:ascii="Times New Roman" w:eastAsia="Times New Roman" w:hAnsi="Times New Roman" w:cs="Times New Roman"/>
                <w:color w:val="333333"/>
              </w:rPr>
            </w:pPr>
            <w:r w:rsidRPr="00BD5BB8">
              <w:rPr>
                <w:rFonts w:ascii="Times New Roman" w:eastAsia="Times New Roman" w:hAnsi="Times New Roman" w:cs="Times New Roman"/>
                <w:color w:val="333333"/>
              </w:rPr>
              <w:t xml:space="preserve">Европа </w:t>
            </w:r>
          </w:p>
        </w:tc>
        <w:tc>
          <w:tcPr>
            <w:tcW w:w="2268" w:type="dxa"/>
          </w:tcPr>
          <w:p w:rsidR="005F2097" w:rsidRPr="00BD5BB8" w:rsidRDefault="000811F8" w:rsidP="000811F8">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750</w:t>
            </w:r>
            <w:r w:rsidR="005F2097" w:rsidRPr="00BD5BB8">
              <w:rPr>
                <w:rFonts w:ascii="Times New Roman" w:eastAsia="Times New Roman" w:hAnsi="Times New Roman" w:cs="Times New Roman"/>
                <w:color w:val="333333"/>
              </w:rPr>
              <w:t xml:space="preserve"> млн.</w:t>
            </w:r>
          </w:p>
        </w:tc>
        <w:tc>
          <w:tcPr>
            <w:tcW w:w="2126" w:type="dxa"/>
          </w:tcPr>
          <w:p w:rsidR="005F2097" w:rsidRPr="00BD5BB8" w:rsidRDefault="005F2097" w:rsidP="005F2097">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10%</w:t>
            </w:r>
          </w:p>
        </w:tc>
      </w:tr>
      <w:tr w:rsidR="005F2097" w:rsidRPr="00BD5BB8" w:rsidTr="005F2097">
        <w:tc>
          <w:tcPr>
            <w:tcW w:w="5070" w:type="dxa"/>
          </w:tcPr>
          <w:p w:rsidR="005F2097" w:rsidRPr="00BD5BB8" w:rsidRDefault="005F2097" w:rsidP="005F2097">
            <w:pPr>
              <w:rPr>
                <w:rFonts w:ascii="Times New Roman" w:eastAsia="Times New Roman" w:hAnsi="Times New Roman" w:cs="Times New Roman"/>
                <w:color w:val="333333"/>
              </w:rPr>
            </w:pPr>
            <w:r w:rsidRPr="00BD5BB8">
              <w:rPr>
                <w:rFonts w:ascii="Times New Roman" w:eastAsia="Times New Roman" w:hAnsi="Times New Roman" w:cs="Times New Roman"/>
                <w:color w:val="333333"/>
              </w:rPr>
              <w:t xml:space="preserve">Латинска Америка и Карибски басейн  </w:t>
            </w:r>
          </w:p>
        </w:tc>
        <w:tc>
          <w:tcPr>
            <w:tcW w:w="2268" w:type="dxa"/>
          </w:tcPr>
          <w:p w:rsidR="005F2097" w:rsidRPr="00BD5BB8" w:rsidRDefault="000811F8" w:rsidP="000811F8">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650</w:t>
            </w:r>
            <w:r w:rsidR="005F2097" w:rsidRPr="00BD5BB8">
              <w:rPr>
                <w:rFonts w:ascii="Times New Roman" w:eastAsia="Times New Roman" w:hAnsi="Times New Roman" w:cs="Times New Roman"/>
                <w:color w:val="333333"/>
              </w:rPr>
              <w:t xml:space="preserve"> млн.</w:t>
            </w:r>
          </w:p>
        </w:tc>
        <w:tc>
          <w:tcPr>
            <w:tcW w:w="2126" w:type="dxa"/>
          </w:tcPr>
          <w:p w:rsidR="005F2097" w:rsidRPr="00BD5BB8" w:rsidRDefault="000811F8" w:rsidP="005F2097">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8</w:t>
            </w:r>
            <w:r w:rsidR="005F2097" w:rsidRPr="00BD5BB8">
              <w:rPr>
                <w:rFonts w:ascii="Times New Roman" w:eastAsia="Times New Roman" w:hAnsi="Times New Roman" w:cs="Times New Roman"/>
                <w:color w:val="333333"/>
              </w:rPr>
              <w:t>%</w:t>
            </w:r>
          </w:p>
        </w:tc>
      </w:tr>
      <w:tr w:rsidR="005F2097" w:rsidRPr="00BD5BB8" w:rsidTr="005F2097">
        <w:tc>
          <w:tcPr>
            <w:tcW w:w="5070" w:type="dxa"/>
          </w:tcPr>
          <w:p w:rsidR="005F2097" w:rsidRPr="00BD5BB8" w:rsidRDefault="005F2097" w:rsidP="000811F8">
            <w:pPr>
              <w:rPr>
                <w:rFonts w:ascii="Times New Roman" w:eastAsia="Times New Roman" w:hAnsi="Times New Roman" w:cs="Times New Roman"/>
                <w:color w:val="333333"/>
              </w:rPr>
            </w:pPr>
            <w:r w:rsidRPr="00BD5BB8">
              <w:rPr>
                <w:rFonts w:ascii="Times New Roman" w:eastAsia="Times New Roman" w:hAnsi="Times New Roman" w:cs="Times New Roman"/>
                <w:color w:val="333333"/>
              </w:rPr>
              <w:t>Северна Америка (3</w:t>
            </w:r>
            <w:r w:rsidR="000811F8" w:rsidRPr="00BD5BB8">
              <w:rPr>
                <w:rFonts w:ascii="Times New Roman" w:eastAsia="Times New Roman" w:hAnsi="Times New Roman" w:cs="Times New Roman"/>
                <w:color w:val="333333"/>
              </w:rPr>
              <w:t>70 млн.) и Океания (43</w:t>
            </w:r>
            <w:r w:rsidRPr="00BD5BB8">
              <w:rPr>
                <w:rFonts w:ascii="Times New Roman" w:eastAsia="Times New Roman" w:hAnsi="Times New Roman" w:cs="Times New Roman"/>
                <w:color w:val="333333"/>
              </w:rPr>
              <w:t xml:space="preserve"> млн.)</w:t>
            </w:r>
          </w:p>
        </w:tc>
        <w:tc>
          <w:tcPr>
            <w:tcW w:w="2268" w:type="dxa"/>
          </w:tcPr>
          <w:p w:rsidR="005F2097" w:rsidRPr="00BD5BB8" w:rsidRDefault="000811F8" w:rsidP="005F2097">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413</w:t>
            </w:r>
            <w:r w:rsidR="005F2097" w:rsidRPr="00BD5BB8">
              <w:rPr>
                <w:rFonts w:ascii="Times New Roman" w:eastAsia="Times New Roman" w:hAnsi="Times New Roman" w:cs="Times New Roman"/>
                <w:color w:val="333333"/>
              </w:rPr>
              <w:t xml:space="preserve"> млн.</w:t>
            </w:r>
          </w:p>
        </w:tc>
        <w:tc>
          <w:tcPr>
            <w:tcW w:w="2126" w:type="dxa"/>
          </w:tcPr>
          <w:p w:rsidR="005F2097" w:rsidRPr="00BD5BB8" w:rsidRDefault="005F2097" w:rsidP="005F2097">
            <w:pPr>
              <w:jc w:val="right"/>
              <w:rPr>
                <w:rFonts w:ascii="Times New Roman" w:eastAsia="Times New Roman" w:hAnsi="Times New Roman" w:cs="Times New Roman"/>
                <w:color w:val="333333"/>
              </w:rPr>
            </w:pPr>
            <w:r w:rsidRPr="00BD5BB8">
              <w:rPr>
                <w:rFonts w:ascii="Times New Roman" w:eastAsia="Times New Roman" w:hAnsi="Times New Roman" w:cs="Times New Roman"/>
                <w:color w:val="333333"/>
              </w:rPr>
              <w:t>5%</w:t>
            </w:r>
          </w:p>
        </w:tc>
      </w:tr>
    </w:tbl>
    <w:p w:rsidR="005F2097" w:rsidRPr="00BD5BB8" w:rsidRDefault="005F2097" w:rsidP="005F2097">
      <w:pPr>
        <w:spacing w:after="0" w:line="240" w:lineRule="auto"/>
        <w:rPr>
          <w:rFonts w:ascii="Times New Roman" w:eastAsia="Times New Roman" w:hAnsi="Times New Roman" w:cs="Times New Roman"/>
          <w:color w:val="333333"/>
          <w:sz w:val="20"/>
          <w:szCs w:val="20"/>
        </w:rPr>
      </w:pPr>
      <w:r w:rsidRPr="00BD5BB8">
        <w:rPr>
          <w:rFonts w:ascii="Times New Roman" w:eastAsia="Times New Roman" w:hAnsi="Times New Roman" w:cs="Times New Roman"/>
          <w:color w:val="333333"/>
          <w:sz w:val="20"/>
          <w:szCs w:val="20"/>
        </w:rPr>
        <w:t>Източник: Отдел за население към ООН</w:t>
      </w:r>
    </w:p>
    <w:p w:rsidR="005F2097" w:rsidRPr="00BD5BB8" w:rsidRDefault="005F2097" w:rsidP="005F2097">
      <w:pPr>
        <w:spacing w:after="0" w:line="240" w:lineRule="auto"/>
        <w:ind w:firstLine="709"/>
        <w:jc w:val="both"/>
        <w:rPr>
          <w:rFonts w:ascii="Times New Roman" w:eastAsia="Times New Roman" w:hAnsi="Times New Roman" w:cs="Times New Roman"/>
          <w:color w:val="333333"/>
          <w:sz w:val="24"/>
          <w:szCs w:val="24"/>
        </w:rPr>
      </w:pPr>
    </w:p>
    <w:p w:rsidR="005F2097" w:rsidRPr="00BD5BB8" w:rsidRDefault="005F2097" w:rsidP="005F2097">
      <w:pPr>
        <w:spacing w:after="0" w:line="240" w:lineRule="auto"/>
        <w:ind w:firstLine="709"/>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Страните с най-голяма численост на населението са: Китай (1</w:t>
      </w:r>
      <w:r w:rsidR="00FB4291" w:rsidRPr="00BD5BB8">
        <w:rPr>
          <w:rFonts w:ascii="Times New Roman" w:eastAsia="Times New Roman" w:hAnsi="Times New Roman" w:cs="Times New Roman"/>
          <w:color w:val="333333"/>
          <w:sz w:val="24"/>
          <w:szCs w:val="24"/>
        </w:rPr>
        <w:t>.</w:t>
      </w:r>
      <w:r w:rsidR="000811F8" w:rsidRPr="00BD5BB8">
        <w:rPr>
          <w:rFonts w:ascii="Times New Roman" w:eastAsia="Times New Roman" w:hAnsi="Times New Roman" w:cs="Times New Roman"/>
          <w:color w:val="333333"/>
          <w:sz w:val="24"/>
          <w:szCs w:val="24"/>
        </w:rPr>
        <w:t>44</w:t>
      </w:r>
      <w:r w:rsidRPr="00BD5BB8">
        <w:rPr>
          <w:rFonts w:ascii="Times New Roman" w:eastAsia="Times New Roman" w:hAnsi="Times New Roman" w:cs="Times New Roman"/>
          <w:color w:val="333333"/>
          <w:sz w:val="24"/>
          <w:szCs w:val="24"/>
        </w:rPr>
        <w:t xml:space="preserve"> млрд. човека) и Индия (1</w:t>
      </w:r>
      <w:r w:rsidR="00FB4291" w:rsidRPr="00BD5BB8">
        <w:rPr>
          <w:rFonts w:ascii="Times New Roman" w:eastAsia="Times New Roman" w:hAnsi="Times New Roman" w:cs="Times New Roman"/>
          <w:color w:val="333333"/>
          <w:sz w:val="24"/>
          <w:szCs w:val="24"/>
        </w:rPr>
        <w:t>.</w:t>
      </w:r>
      <w:r w:rsidRPr="00BD5BB8">
        <w:rPr>
          <w:rFonts w:ascii="Times New Roman" w:eastAsia="Times New Roman" w:hAnsi="Times New Roman" w:cs="Times New Roman"/>
          <w:color w:val="333333"/>
          <w:sz w:val="24"/>
          <w:szCs w:val="24"/>
        </w:rPr>
        <w:t>3</w:t>
      </w:r>
      <w:r w:rsidR="000811F8" w:rsidRPr="00BD5BB8">
        <w:rPr>
          <w:rFonts w:ascii="Times New Roman" w:eastAsia="Times New Roman" w:hAnsi="Times New Roman" w:cs="Times New Roman"/>
          <w:color w:val="333333"/>
          <w:sz w:val="24"/>
          <w:szCs w:val="24"/>
        </w:rPr>
        <w:t>9</w:t>
      </w:r>
      <w:r w:rsidRPr="00BD5BB8">
        <w:rPr>
          <w:rFonts w:ascii="Times New Roman" w:eastAsia="Times New Roman" w:hAnsi="Times New Roman" w:cs="Times New Roman"/>
          <w:color w:val="333333"/>
          <w:sz w:val="24"/>
          <w:szCs w:val="24"/>
        </w:rPr>
        <w:t xml:space="preserve"> млрд. човека); тяхното население съставлява съответно 19% и 18% от световното население. Съгласно прогнозите се очаква световното население да се </w:t>
      </w:r>
      <w:r w:rsidR="00D54A82" w:rsidRPr="00BD5BB8">
        <w:rPr>
          <w:rFonts w:ascii="Times New Roman" w:eastAsia="Times New Roman" w:hAnsi="Times New Roman" w:cs="Times New Roman"/>
          <w:color w:val="333333"/>
          <w:sz w:val="24"/>
          <w:szCs w:val="24"/>
        </w:rPr>
        <w:t xml:space="preserve"> достигне 8</w:t>
      </w:r>
      <w:r w:rsidR="00FB4291" w:rsidRPr="00BD5BB8">
        <w:rPr>
          <w:rFonts w:ascii="Times New Roman" w:eastAsia="Times New Roman" w:hAnsi="Times New Roman" w:cs="Times New Roman"/>
          <w:color w:val="333333"/>
          <w:sz w:val="24"/>
          <w:szCs w:val="24"/>
        </w:rPr>
        <w:t>.</w:t>
      </w:r>
      <w:r w:rsidR="00D54A82" w:rsidRPr="00BD5BB8">
        <w:rPr>
          <w:rFonts w:ascii="Times New Roman" w:eastAsia="Times New Roman" w:hAnsi="Times New Roman" w:cs="Times New Roman"/>
          <w:color w:val="333333"/>
          <w:sz w:val="24"/>
          <w:szCs w:val="24"/>
        </w:rPr>
        <w:t>5 млдр. човека през 2030 г., което с повече от 1 млдр. човека повече спрямо сегашния брой.</w:t>
      </w:r>
    </w:p>
    <w:p w:rsidR="005F2097" w:rsidRPr="00BD5BB8" w:rsidRDefault="005F2097" w:rsidP="005F2097">
      <w:pPr>
        <w:keepNext/>
        <w:keepLines/>
        <w:spacing w:after="0" w:line="240" w:lineRule="auto"/>
        <w:jc w:val="center"/>
        <w:outlineLvl w:val="3"/>
        <w:rPr>
          <w:rFonts w:ascii="Times New Roman" w:eastAsiaTheme="majorEastAsia" w:hAnsi="Times New Roman" w:cs="Times New Roman"/>
          <w:b/>
          <w:iCs/>
          <w:sz w:val="24"/>
          <w:szCs w:val="24"/>
        </w:rPr>
      </w:pPr>
    </w:p>
    <w:p w:rsidR="005F2097" w:rsidRPr="00BD5BB8" w:rsidRDefault="005F2097" w:rsidP="005F2097">
      <w:pPr>
        <w:keepNext/>
        <w:keepLines/>
        <w:spacing w:after="0" w:line="240" w:lineRule="auto"/>
        <w:jc w:val="center"/>
        <w:outlineLvl w:val="3"/>
        <w:rPr>
          <w:rFonts w:ascii="Times New Roman" w:eastAsiaTheme="majorEastAsia" w:hAnsi="Times New Roman" w:cs="Times New Roman"/>
          <w:b/>
          <w:iCs/>
          <w:sz w:val="24"/>
          <w:szCs w:val="24"/>
        </w:rPr>
      </w:pPr>
      <w:r w:rsidRPr="00BD5BB8">
        <w:rPr>
          <w:rFonts w:ascii="Times New Roman" w:eastAsiaTheme="majorEastAsia" w:hAnsi="Times New Roman" w:cs="Times New Roman"/>
          <w:b/>
          <w:iCs/>
          <w:sz w:val="24"/>
          <w:szCs w:val="24"/>
        </w:rPr>
        <w:t>Африка</w:t>
      </w:r>
    </w:p>
    <w:p w:rsidR="005F2097" w:rsidRPr="00BD5BB8" w:rsidRDefault="005F2097" w:rsidP="005F2097">
      <w:pPr>
        <w:spacing w:after="0" w:line="240" w:lineRule="auto"/>
        <w:jc w:val="both"/>
        <w:rPr>
          <w:rFonts w:ascii="Times New Roman" w:eastAsia="Times New Roman" w:hAnsi="Times New Roman" w:cs="Times New Roman"/>
          <w:color w:val="333333"/>
          <w:sz w:val="24"/>
          <w:szCs w:val="24"/>
        </w:rPr>
      </w:pPr>
    </w:p>
    <w:p w:rsidR="005F2097" w:rsidRPr="00BD5BB8" w:rsidRDefault="005F2097" w:rsidP="005F2097">
      <w:pPr>
        <w:keepNext/>
        <w:keepLines/>
        <w:spacing w:after="0" w:line="240" w:lineRule="auto"/>
        <w:ind w:firstLine="709"/>
        <w:jc w:val="both"/>
        <w:outlineLvl w:val="3"/>
        <w:rPr>
          <w:rFonts w:ascii="Times New Roman" w:eastAsiaTheme="majorEastAsia" w:hAnsi="Times New Roman" w:cs="Times New Roman"/>
          <w:iCs/>
          <w:sz w:val="24"/>
          <w:szCs w:val="24"/>
        </w:rPr>
      </w:pPr>
      <w:r w:rsidRPr="00BD5BB8">
        <w:rPr>
          <w:rFonts w:ascii="Times New Roman" w:eastAsiaTheme="majorEastAsia" w:hAnsi="Times New Roman" w:cs="Times New Roman"/>
          <w:iCs/>
          <w:sz w:val="24"/>
          <w:szCs w:val="24"/>
        </w:rPr>
        <w:t xml:space="preserve">Африка е най-бързо растящият континент. </w:t>
      </w:r>
    </w:p>
    <w:p w:rsidR="005F2097" w:rsidRPr="00BD5BB8" w:rsidRDefault="005F2097" w:rsidP="005F2097">
      <w:pPr>
        <w:keepNext/>
        <w:keepLines/>
        <w:spacing w:after="0" w:line="240" w:lineRule="auto"/>
        <w:ind w:firstLine="709"/>
        <w:jc w:val="both"/>
        <w:outlineLvl w:val="3"/>
        <w:rPr>
          <w:rFonts w:ascii="Times New Roman" w:eastAsiaTheme="majorEastAsia" w:hAnsi="Times New Roman" w:cs="Times New Roman"/>
          <w:bCs/>
          <w:iCs/>
          <w:color w:val="333333"/>
          <w:sz w:val="24"/>
          <w:szCs w:val="24"/>
        </w:rPr>
      </w:pPr>
      <w:r w:rsidRPr="00BD5BB8">
        <w:rPr>
          <w:rFonts w:ascii="Times New Roman" w:eastAsiaTheme="majorEastAsia" w:hAnsi="Times New Roman" w:cs="Times New Roman"/>
          <w:bCs/>
          <w:iCs/>
          <w:sz w:val="24"/>
          <w:szCs w:val="24"/>
        </w:rPr>
        <w:t xml:space="preserve">Очаква се основният прираст на населението до 2050 г. да бъде именно в Африка. </w:t>
      </w:r>
      <w:r w:rsidR="00D54A82" w:rsidRPr="00BD5BB8">
        <w:rPr>
          <w:rFonts w:ascii="Times New Roman" w:eastAsiaTheme="majorEastAsia" w:hAnsi="Times New Roman" w:cs="Times New Roman"/>
          <w:bCs/>
          <w:iCs/>
          <w:color w:val="333333"/>
          <w:sz w:val="24"/>
          <w:szCs w:val="24"/>
        </w:rPr>
        <w:t>Н</w:t>
      </w:r>
      <w:r w:rsidRPr="00BD5BB8">
        <w:rPr>
          <w:rFonts w:ascii="Times New Roman" w:eastAsiaTheme="majorEastAsia" w:hAnsi="Times New Roman" w:cs="Times New Roman"/>
          <w:bCs/>
          <w:iCs/>
          <w:color w:val="333333"/>
          <w:sz w:val="24"/>
          <w:szCs w:val="24"/>
        </w:rPr>
        <w:t xml:space="preserve">аселението в Африка нараства с най-високи темпове </w:t>
      </w:r>
      <w:r w:rsidR="00D54A82" w:rsidRPr="00BD5BB8">
        <w:rPr>
          <w:rFonts w:ascii="Times New Roman" w:eastAsia="MyriadPro-Regular" w:hAnsi="Times New Roman" w:cs="Times New Roman"/>
          <w:bCs/>
          <w:iCs/>
          <w:sz w:val="24"/>
          <w:szCs w:val="24"/>
        </w:rPr>
        <w:t>другите</w:t>
      </w:r>
      <w:r w:rsidR="00D54A82" w:rsidRPr="00BD5BB8">
        <w:rPr>
          <w:rFonts w:ascii="Times New Roman" w:eastAsiaTheme="majorEastAsia" w:hAnsi="Times New Roman" w:cs="Times New Roman"/>
          <w:bCs/>
          <w:iCs/>
          <w:color w:val="333333"/>
          <w:sz w:val="24"/>
          <w:szCs w:val="24"/>
        </w:rPr>
        <w:t xml:space="preserve"> континенти</w:t>
      </w:r>
      <w:r w:rsidRPr="00BD5BB8">
        <w:rPr>
          <w:rFonts w:ascii="Times New Roman" w:eastAsiaTheme="majorEastAsia" w:hAnsi="Times New Roman" w:cs="Times New Roman"/>
          <w:bCs/>
          <w:iCs/>
          <w:color w:val="333333"/>
          <w:sz w:val="24"/>
          <w:szCs w:val="24"/>
        </w:rPr>
        <w:t xml:space="preserve">. </w:t>
      </w:r>
      <w:r w:rsidR="00D54A82" w:rsidRPr="00BD5BB8">
        <w:rPr>
          <w:rFonts w:ascii="Times New Roman" w:eastAsiaTheme="majorEastAsia" w:hAnsi="Times New Roman" w:cs="Times New Roman"/>
          <w:bCs/>
          <w:iCs/>
          <w:color w:val="333333"/>
          <w:sz w:val="24"/>
          <w:szCs w:val="24"/>
        </w:rPr>
        <w:t xml:space="preserve">Населението на страните разположени на юг от Сахара ще се увеличи двойно до 2050 г. </w:t>
      </w:r>
      <w:r w:rsidRPr="00BD5BB8">
        <w:rPr>
          <w:rFonts w:ascii="Times New Roman" w:eastAsiaTheme="majorEastAsia" w:hAnsi="Times New Roman" w:cs="Times New Roman"/>
          <w:bCs/>
          <w:iCs/>
          <w:color w:val="333333"/>
          <w:sz w:val="24"/>
          <w:szCs w:val="24"/>
        </w:rPr>
        <w:t>Бързите темпове на нарастване на населението на континента се запазват дори в случаите на значително намаляване на показателя за фертилност.</w:t>
      </w:r>
    </w:p>
    <w:p w:rsidR="005F2097" w:rsidRPr="00BD5BB8" w:rsidRDefault="005F2097" w:rsidP="005F2097">
      <w:pPr>
        <w:spacing w:after="0" w:line="240" w:lineRule="auto"/>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ab/>
        <w:t>Независимо от възможната неточност на прогнозите, високата численост на млади хора, които скоро ще имат свои деца, говори за това, че именно от този континент  ще зависи броя и разпределението на световното население в следващите няколко десетилетия.</w:t>
      </w:r>
    </w:p>
    <w:p w:rsidR="005F2097" w:rsidRPr="00BD5BB8" w:rsidRDefault="005F2097" w:rsidP="00E82FA0">
      <w:pPr>
        <w:jc w:val="center"/>
        <w:rPr>
          <w:rFonts w:ascii="Times New Roman" w:eastAsia="Times New Roman" w:hAnsi="Times New Roman" w:cs="Times New Roman"/>
          <w:b/>
          <w:color w:val="333333"/>
          <w:sz w:val="24"/>
          <w:szCs w:val="24"/>
        </w:rPr>
      </w:pPr>
      <w:r w:rsidRPr="00BD5BB8">
        <w:rPr>
          <w:rFonts w:ascii="Times New Roman" w:eastAsia="Times New Roman" w:hAnsi="Times New Roman" w:cs="Times New Roman"/>
          <w:b/>
          <w:color w:val="333333"/>
          <w:sz w:val="24"/>
          <w:szCs w:val="24"/>
        </w:rPr>
        <w:lastRenderedPageBreak/>
        <w:t>Азия</w:t>
      </w:r>
    </w:p>
    <w:p w:rsidR="005F2097" w:rsidRPr="00BD5BB8" w:rsidRDefault="005F2097" w:rsidP="005F2097">
      <w:pPr>
        <w:spacing w:after="0" w:line="240" w:lineRule="auto"/>
        <w:ind w:firstLine="709"/>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 xml:space="preserve">По прогнози, Азия ще се превърне във втория регион, който ще допринася за глобалния ръст на световното население. </w:t>
      </w:r>
      <w:r w:rsidR="00261F06" w:rsidRPr="00BD5BB8">
        <w:rPr>
          <w:rFonts w:ascii="Times New Roman" w:eastAsia="Times New Roman" w:hAnsi="Times New Roman" w:cs="Times New Roman"/>
          <w:color w:val="333333"/>
          <w:sz w:val="24"/>
          <w:szCs w:val="24"/>
        </w:rPr>
        <w:t>Съгласно прогнозите през 2027 г. се очаква Индия да изпревари по брой на населението Китай. В периода 2019</w:t>
      </w:r>
      <w:r w:rsidR="00E82FA0" w:rsidRPr="00BD5BB8">
        <w:rPr>
          <w:rFonts w:ascii="Times New Roman" w:eastAsia="Times New Roman" w:hAnsi="Times New Roman" w:cs="Times New Roman"/>
          <w:color w:val="333333"/>
          <w:sz w:val="24"/>
          <w:szCs w:val="24"/>
        </w:rPr>
        <w:t>-</w:t>
      </w:r>
      <w:r w:rsidR="00261F06" w:rsidRPr="00BD5BB8">
        <w:rPr>
          <w:rFonts w:ascii="Times New Roman" w:eastAsia="Times New Roman" w:hAnsi="Times New Roman" w:cs="Times New Roman"/>
          <w:color w:val="333333"/>
          <w:sz w:val="24"/>
          <w:szCs w:val="24"/>
        </w:rPr>
        <w:t>2050 г. населението на Китай намалее с 31,1 милиона души, което ще представлява 2,2% от населението на страната.</w:t>
      </w:r>
    </w:p>
    <w:p w:rsidR="005F2097" w:rsidRPr="00BD5BB8" w:rsidRDefault="005F2097" w:rsidP="005F2097">
      <w:pPr>
        <w:spacing w:after="0" w:line="240" w:lineRule="auto"/>
        <w:jc w:val="both"/>
        <w:rPr>
          <w:rFonts w:ascii="Times New Roman" w:eastAsia="Times New Roman" w:hAnsi="Times New Roman" w:cs="Times New Roman"/>
          <w:color w:val="333333"/>
          <w:sz w:val="24"/>
          <w:szCs w:val="24"/>
        </w:rPr>
      </w:pPr>
    </w:p>
    <w:p w:rsidR="005F2097" w:rsidRPr="00BD5BB8" w:rsidRDefault="005F2097" w:rsidP="005F2097">
      <w:pPr>
        <w:keepNext/>
        <w:keepLines/>
        <w:spacing w:after="0" w:line="240" w:lineRule="auto"/>
        <w:jc w:val="center"/>
        <w:outlineLvl w:val="3"/>
        <w:rPr>
          <w:rFonts w:ascii="Times New Roman" w:eastAsiaTheme="majorEastAsia" w:hAnsi="Times New Roman" w:cs="Times New Roman"/>
          <w:b/>
          <w:iCs/>
          <w:sz w:val="24"/>
          <w:szCs w:val="24"/>
        </w:rPr>
      </w:pPr>
      <w:r w:rsidRPr="00BD5BB8">
        <w:rPr>
          <w:rFonts w:ascii="Times New Roman" w:eastAsiaTheme="majorEastAsia" w:hAnsi="Times New Roman" w:cs="Times New Roman"/>
          <w:b/>
          <w:iCs/>
          <w:sz w:val="24"/>
          <w:szCs w:val="24"/>
        </w:rPr>
        <w:t>Европа</w:t>
      </w:r>
    </w:p>
    <w:p w:rsidR="005F2097" w:rsidRPr="00BD5BB8" w:rsidRDefault="005F2097" w:rsidP="004756F5">
      <w:pPr>
        <w:keepNext/>
        <w:keepLines/>
        <w:spacing w:after="0" w:line="240" w:lineRule="auto"/>
        <w:outlineLvl w:val="3"/>
        <w:rPr>
          <w:rFonts w:ascii="Times New Roman" w:eastAsiaTheme="majorEastAsia" w:hAnsi="Times New Roman" w:cs="Times New Roman"/>
          <w:iCs/>
          <w:sz w:val="24"/>
          <w:szCs w:val="24"/>
        </w:rPr>
      </w:pPr>
    </w:p>
    <w:p w:rsidR="00261F06" w:rsidRPr="00BD5BB8" w:rsidRDefault="00261F06" w:rsidP="00261F06">
      <w:pPr>
        <w:keepNext/>
        <w:keepLines/>
        <w:spacing w:after="0" w:line="240" w:lineRule="auto"/>
        <w:ind w:firstLine="709"/>
        <w:jc w:val="both"/>
        <w:outlineLvl w:val="3"/>
        <w:rPr>
          <w:rFonts w:ascii="Times New Roman" w:eastAsiaTheme="majorEastAsia" w:hAnsi="Times New Roman" w:cs="Times New Roman"/>
          <w:iCs/>
          <w:sz w:val="24"/>
          <w:szCs w:val="24"/>
        </w:rPr>
      </w:pPr>
      <w:r w:rsidRPr="00BD5BB8">
        <w:rPr>
          <w:rFonts w:ascii="Times New Roman" w:eastAsiaTheme="majorEastAsia" w:hAnsi="Times New Roman" w:cs="Times New Roman"/>
          <w:iCs/>
          <w:sz w:val="24"/>
          <w:szCs w:val="24"/>
        </w:rPr>
        <w:t>В Европа броят на населението намалява.</w:t>
      </w:r>
    </w:p>
    <w:p w:rsidR="005F2097" w:rsidRPr="00BD5BB8" w:rsidRDefault="00261F06" w:rsidP="005F2097">
      <w:pPr>
        <w:keepNext/>
        <w:keepLines/>
        <w:spacing w:after="0" w:line="240" w:lineRule="auto"/>
        <w:ind w:firstLine="709"/>
        <w:jc w:val="both"/>
        <w:outlineLvl w:val="3"/>
        <w:rPr>
          <w:rFonts w:ascii="Times New Roman" w:eastAsiaTheme="majorEastAsia" w:hAnsi="Times New Roman" w:cs="Times New Roman"/>
          <w:iCs/>
          <w:sz w:val="24"/>
          <w:szCs w:val="24"/>
        </w:rPr>
      </w:pPr>
      <w:r w:rsidRPr="00BD5BB8">
        <w:rPr>
          <w:rFonts w:ascii="Times New Roman" w:eastAsiaTheme="majorEastAsia" w:hAnsi="Times New Roman" w:cs="Times New Roman"/>
          <w:iCs/>
          <w:sz w:val="24"/>
          <w:szCs w:val="24"/>
        </w:rPr>
        <w:t>Крайно противоположна тенденция се наблюдава в 55 страни и региони в света, където се очаква намаляване на броя на населението към 2050 г.</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В периода </w:t>
      </w:r>
      <w:r w:rsidR="00261F06" w:rsidRPr="00BD5BB8">
        <w:rPr>
          <w:rFonts w:ascii="Times New Roman" w:hAnsi="Times New Roman" w:cs="Times New Roman"/>
          <w:sz w:val="24"/>
          <w:szCs w:val="24"/>
        </w:rPr>
        <w:t xml:space="preserve">до </w:t>
      </w:r>
      <w:r w:rsidRPr="00BD5BB8">
        <w:rPr>
          <w:rFonts w:ascii="Times New Roman" w:hAnsi="Times New Roman" w:cs="Times New Roman"/>
          <w:sz w:val="24"/>
          <w:szCs w:val="24"/>
        </w:rPr>
        <w:t xml:space="preserve">2050 г. се очаква в </w:t>
      </w:r>
      <w:r w:rsidR="00261F06" w:rsidRPr="00BD5BB8">
        <w:rPr>
          <w:rFonts w:ascii="Times New Roman" w:hAnsi="Times New Roman" w:cs="Times New Roman"/>
          <w:sz w:val="24"/>
          <w:szCs w:val="24"/>
        </w:rPr>
        <w:t>55</w:t>
      </w:r>
      <w:r w:rsidRPr="00BD5BB8">
        <w:rPr>
          <w:rFonts w:ascii="Times New Roman" w:hAnsi="Times New Roman" w:cs="Times New Roman"/>
          <w:sz w:val="24"/>
          <w:szCs w:val="24"/>
        </w:rPr>
        <w:t xml:space="preserve"> страни населението да намалява. В </w:t>
      </w:r>
      <w:r w:rsidR="00261F06" w:rsidRPr="00BD5BB8">
        <w:rPr>
          <w:rFonts w:ascii="Times New Roman" w:hAnsi="Times New Roman" w:cs="Times New Roman"/>
          <w:sz w:val="24"/>
          <w:szCs w:val="24"/>
        </w:rPr>
        <w:t>редица страни</w:t>
      </w:r>
      <w:r w:rsidRPr="00BD5BB8">
        <w:rPr>
          <w:rFonts w:ascii="Times New Roman" w:hAnsi="Times New Roman" w:cs="Times New Roman"/>
          <w:sz w:val="24"/>
          <w:szCs w:val="24"/>
        </w:rPr>
        <w:t xml:space="preserve"> като България, Босна и Херцеговина, Унгария, Латвия, Литва, Република Молдова, Сърбия, Украйна, Хърватия се очаква броят на населението да намалее с повече от 15%.</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Към момента равнището на раждаемост във всички европейски страни е по-ниско от минималния показател (средно 2.1 дете на всяка жена във фертилна възраст), необходим за осигуряване на простото възпроизводство на населението в дългосрочна перспектива. При това, в някои от страните равнището на раждаемост е по-ниско от този показател в продължение вече на няколко десетилетия.</w:t>
      </w:r>
    </w:p>
    <w:p w:rsidR="005F2097" w:rsidRPr="00BD5BB8" w:rsidRDefault="005F2097" w:rsidP="005F2097">
      <w:pPr>
        <w:keepNext/>
        <w:keepLines/>
        <w:spacing w:after="0" w:line="240" w:lineRule="auto"/>
        <w:jc w:val="center"/>
        <w:outlineLvl w:val="2"/>
        <w:rPr>
          <w:rFonts w:ascii="Times New Roman" w:eastAsiaTheme="majorEastAsia" w:hAnsi="Times New Roman" w:cs="Times New Roman"/>
          <w:b/>
          <w:bCs/>
          <w:color w:val="4F81BD" w:themeColor="accent1"/>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Фактори, които оказват влияние върху броя на населението</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Равнище на раждаемост</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Темповете на нарастване на населението се определят главно от равнището на раждаемос</w:t>
      </w:r>
      <w:r w:rsidR="00850FF8" w:rsidRPr="00BD5BB8">
        <w:rPr>
          <w:rFonts w:ascii="Times New Roman" w:hAnsi="Times New Roman" w:cs="Times New Roman"/>
          <w:sz w:val="24"/>
          <w:szCs w:val="24"/>
        </w:rPr>
        <w:t>т/фертилитет. Според изданието „</w:t>
      </w:r>
      <w:r w:rsidRPr="00BD5BB8">
        <w:rPr>
          <w:rFonts w:ascii="Times New Roman" w:hAnsi="Times New Roman" w:cs="Times New Roman"/>
          <w:sz w:val="24"/>
          <w:szCs w:val="24"/>
        </w:rPr>
        <w:t>Световни демографски перспектив</w:t>
      </w:r>
      <w:r w:rsidR="00850FF8" w:rsidRPr="00BD5BB8">
        <w:rPr>
          <w:rFonts w:ascii="Times New Roman" w:hAnsi="Times New Roman" w:cs="Times New Roman"/>
          <w:sz w:val="24"/>
          <w:szCs w:val="24"/>
        </w:rPr>
        <w:t>и: преоценен вариант от 2019 г.“</w:t>
      </w:r>
      <w:r w:rsidRPr="00BD5BB8">
        <w:rPr>
          <w:rFonts w:ascii="Times New Roman" w:hAnsi="Times New Roman" w:cs="Times New Roman"/>
          <w:sz w:val="24"/>
          <w:szCs w:val="24"/>
        </w:rPr>
        <w:t>, се очаква равнище</w:t>
      </w:r>
      <w:r w:rsidR="00850FF8" w:rsidRPr="00BD5BB8">
        <w:rPr>
          <w:rFonts w:ascii="Times New Roman" w:hAnsi="Times New Roman" w:cs="Times New Roman"/>
          <w:sz w:val="24"/>
          <w:szCs w:val="24"/>
        </w:rPr>
        <w:t>то</w:t>
      </w:r>
      <w:r w:rsidRPr="00BD5BB8">
        <w:rPr>
          <w:rFonts w:ascii="Times New Roman" w:hAnsi="Times New Roman" w:cs="Times New Roman"/>
          <w:sz w:val="24"/>
          <w:szCs w:val="24"/>
        </w:rPr>
        <w:t xml:space="preserve"> на раждаемост </w:t>
      </w:r>
      <w:r w:rsidR="00850FF8" w:rsidRPr="00BD5BB8">
        <w:rPr>
          <w:rFonts w:ascii="Times New Roman" w:hAnsi="Times New Roman" w:cs="Times New Roman"/>
          <w:sz w:val="24"/>
          <w:szCs w:val="24"/>
        </w:rPr>
        <w:t>да се понижи от 2</w:t>
      </w:r>
      <w:r w:rsidR="00041F94" w:rsidRPr="00BD5BB8">
        <w:rPr>
          <w:rFonts w:ascii="Times New Roman" w:hAnsi="Times New Roman" w:cs="Times New Roman"/>
          <w:sz w:val="24"/>
          <w:szCs w:val="24"/>
        </w:rPr>
        <w:t>.</w:t>
      </w:r>
      <w:r w:rsidR="00850FF8" w:rsidRPr="00BD5BB8">
        <w:rPr>
          <w:rFonts w:ascii="Times New Roman" w:hAnsi="Times New Roman" w:cs="Times New Roman"/>
          <w:sz w:val="24"/>
          <w:szCs w:val="24"/>
        </w:rPr>
        <w:t>5 деца през 2019 г. до 2</w:t>
      </w:r>
      <w:r w:rsidR="00FB4291" w:rsidRPr="00BD5BB8">
        <w:rPr>
          <w:rFonts w:ascii="Times New Roman" w:hAnsi="Times New Roman" w:cs="Times New Roman"/>
          <w:sz w:val="24"/>
          <w:szCs w:val="24"/>
        </w:rPr>
        <w:t>.</w:t>
      </w:r>
      <w:r w:rsidR="00850FF8" w:rsidRPr="00BD5BB8">
        <w:rPr>
          <w:rFonts w:ascii="Times New Roman" w:hAnsi="Times New Roman" w:cs="Times New Roman"/>
          <w:sz w:val="24"/>
          <w:szCs w:val="24"/>
        </w:rPr>
        <w:t>4 деца през 2050 г.</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Трябва да се има предвид, че прогнозите по отношение на страните с високо равнище на раждаемост могат да бъдат доста неточни. В тези страни на всяка жена във фертилна възраст се разпределят по 5 и повече деца. От 21 страни с най-високо равнище на раждаемост 19 страни се намират в Африка, а 2 </w:t>
      </w:r>
      <w:r w:rsidR="00C17FC4"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в Азия. Най-големи от тях са Нигерия, Демократична </w:t>
      </w:r>
      <w:r w:rsidR="00047B52" w:rsidRPr="00BD5BB8">
        <w:rPr>
          <w:rFonts w:ascii="Times New Roman" w:hAnsi="Times New Roman" w:cs="Times New Roman"/>
          <w:sz w:val="24"/>
          <w:szCs w:val="24"/>
        </w:rPr>
        <w:t>република Конго, Обединена р</w:t>
      </w:r>
      <w:r w:rsidRPr="00BD5BB8">
        <w:rPr>
          <w:rFonts w:ascii="Times New Roman" w:hAnsi="Times New Roman" w:cs="Times New Roman"/>
          <w:sz w:val="24"/>
          <w:szCs w:val="24"/>
        </w:rPr>
        <w:t>епублика Танзания, Уганда и Афганистан.</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Страните с ниско равнище на раждаемост включват всички европейски страни, Северна Америка, 20 страни в Азия, 17 страни в Латинска Америка и Карибския басейн, 3 страни в Океания и една страна в Африка. </w:t>
      </w:r>
    </w:p>
    <w:p w:rsidR="005F2097" w:rsidRPr="00BD5BB8" w:rsidRDefault="005F2097" w:rsidP="005F2097">
      <w:pPr>
        <w:spacing w:after="0" w:line="240" w:lineRule="auto"/>
        <w:jc w:val="both"/>
        <w:rPr>
          <w:rFonts w:ascii="Times New Roman" w:hAnsi="Times New Roman" w:cs="Times New Roman"/>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Увеличаване на продължителността на живота и намаляване на смъртността</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5F2097">
      <w:pPr>
        <w:spacing w:after="0" w:line="240" w:lineRule="auto"/>
        <w:ind w:firstLine="709"/>
        <w:jc w:val="both"/>
        <w:rPr>
          <w:rFonts w:ascii="Times New Roman" w:hAnsi="Times New Roman" w:cs="Times New Roman"/>
          <w:bCs/>
          <w:sz w:val="24"/>
          <w:szCs w:val="24"/>
        </w:rPr>
      </w:pPr>
      <w:r w:rsidRPr="00BD5BB8">
        <w:rPr>
          <w:rFonts w:ascii="Times New Roman" w:hAnsi="Times New Roman" w:cs="Times New Roman"/>
          <w:bCs/>
          <w:sz w:val="24"/>
          <w:szCs w:val="24"/>
        </w:rPr>
        <w:t>През последните години е постигнато значително увеличаване на продължителността на живота.</w:t>
      </w:r>
    </w:p>
    <w:p w:rsidR="005F2097" w:rsidRPr="00BD5BB8" w:rsidRDefault="005F2097" w:rsidP="005F2097">
      <w:pPr>
        <w:spacing w:after="0" w:line="240" w:lineRule="auto"/>
        <w:ind w:firstLine="709"/>
        <w:jc w:val="both"/>
        <w:rPr>
          <w:rFonts w:ascii="Times New Roman" w:hAnsi="Times New Roman" w:cs="Times New Roman"/>
          <w:bCs/>
          <w:sz w:val="24"/>
          <w:szCs w:val="24"/>
        </w:rPr>
      </w:pPr>
      <w:r w:rsidRPr="00BD5BB8">
        <w:rPr>
          <w:rFonts w:ascii="Times New Roman" w:hAnsi="Times New Roman" w:cs="Times New Roman"/>
          <w:bCs/>
          <w:sz w:val="24"/>
          <w:szCs w:val="24"/>
        </w:rPr>
        <w:t xml:space="preserve">Средната продължителност на живота при раждане </w:t>
      </w:r>
      <w:r w:rsidR="00850FF8" w:rsidRPr="00BD5BB8">
        <w:rPr>
          <w:rFonts w:ascii="Times New Roman" w:hAnsi="Times New Roman" w:cs="Times New Roman"/>
          <w:bCs/>
          <w:sz w:val="24"/>
          <w:szCs w:val="24"/>
        </w:rPr>
        <w:t xml:space="preserve">се очаква да се </w:t>
      </w:r>
      <w:r w:rsidRPr="00BD5BB8">
        <w:rPr>
          <w:rFonts w:ascii="Times New Roman" w:hAnsi="Times New Roman" w:cs="Times New Roman"/>
          <w:bCs/>
          <w:sz w:val="24"/>
          <w:szCs w:val="24"/>
        </w:rPr>
        <w:t xml:space="preserve"> увеличи</w:t>
      </w:r>
      <w:r w:rsidR="00850FF8" w:rsidRPr="00BD5BB8">
        <w:rPr>
          <w:rFonts w:ascii="Times New Roman" w:hAnsi="Times New Roman" w:cs="Times New Roman"/>
          <w:bCs/>
          <w:sz w:val="24"/>
          <w:szCs w:val="24"/>
        </w:rPr>
        <w:t xml:space="preserve"> от 72</w:t>
      </w:r>
      <w:r w:rsidR="00FB4291" w:rsidRPr="00BD5BB8">
        <w:rPr>
          <w:rFonts w:ascii="Times New Roman" w:hAnsi="Times New Roman" w:cs="Times New Roman"/>
          <w:bCs/>
          <w:sz w:val="24"/>
          <w:szCs w:val="24"/>
        </w:rPr>
        <w:t>.</w:t>
      </w:r>
      <w:r w:rsidR="00850FF8" w:rsidRPr="00BD5BB8">
        <w:rPr>
          <w:rFonts w:ascii="Times New Roman" w:hAnsi="Times New Roman" w:cs="Times New Roman"/>
          <w:bCs/>
          <w:sz w:val="24"/>
          <w:szCs w:val="24"/>
        </w:rPr>
        <w:t>6 години през 2019 г. до 77</w:t>
      </w:r>
      <w:r w:rsidR="00FB4291" w:rsidRPr="00BD5BB8">
        <w:rPr>
          <w:rFonts w:ascii="Times New Roman" w:hAnsi="Times New Roman" w:cs="Times New Roman"/>
          <w:bCs/>
          <w:sz w:val="24"/>
          <w:szCs w:val="24"/>
        </w:rPr>
        <w:t>.</w:t>
      </w:r>
      <w:r w:rsidR="00850FF8" w:rsidRPr="00BD5BB8">
        <w:rPr>
          <w:rFonts w:ascii="Times New Roman" w:hAnsi="Times New Roman" w:cs="Times New Roman"/>
          <w:bCs/>
          <w:sz w:val="24"/>
          <w:szCs w:val="24"/>
        </w:rPr>
        <w:t>1 години през 2050 г.</w:t>
      </w:r>
      <w:r w:rsidRPr="00BD5BB8">
        <w:rPr>
          <w:rFonts w:ascii="Times New Roman" w:hAnsi="Times New Roman" w:cs="Times New Roman"/>
          <w:bCs/>
          <w:sz w:val="24"/>
          <w:szCs w:val="24"/>
        </w:rPr>
        <w:t xml:space="preserve"> Най-висок ръст на този показател се наблюдава в Африка, където продължителността на живота през 2000-та година се е </w:t>
      </w:r>
      <w:r w:rsidRPr="00BD5BB8">
        <w:rPr>
          <w:rFonts w:ascii="Times New Roman" w:hAnsi="Times New Roman" w:cs="Times New Roman"/>
          <w:bCs/>
          <w:sz w:val="24"/>
          <w:szCs w:val="24"/>
        </w:rPr>
        <w:lastRenderedPageBreak/>
        <w:t>увеличила с 6 години, като в същото време, в предходното десетилетие тя се е увеличила само с 2 години.</w:t>
      </w:r>
    </w:p>
    <w:p w:rsidR="005F2097" w:rsidRPr="00BD5BB8" w:rsidRDefault="005F2097" w:rsidP="005F2097">
      <w:pPr>
        <w:keepNext/>
        <w:keepLines/>
        <w:spacing w:after="0" w:line="240" w:lineRule="auto"/>
        <w:jc w:val="both"/>
        <w:outlineLvl w:val="3"/>
        <w:rPr>
          <w:rFonts w:ascii="Times New Roman" w:eastAsiaTheme="majorEastAsia" w:hAnsi="Times New Roman" w:cs="Times New Roman"/>
          <w:iCs/>
          <w:sz w:val="24"/>
          <w:szCs w:val="24"/>
        </w:rPr>
      </w:pPr>
      <w:r w:rsidRPr="00BD5BB8">
        <w:rPr>
          <w:rFonts w:ascii="Times New Roman" w:eastAsiaTheme="majorEastAsia" w:hAnsi="Times New Roman" w:cs="Times New Roman"/>
          <w:iCs/>
          <w:sz w:val="24"/>
          <w:szCs w:val="24"/>
        </w:rPr>
        <w:tab/>
        <w:t>В периода 2010</w:t>
      </w:r>
      <w:r w:rsidR="00C17FC4" w:rsidRPr="00BD5BB8">
        <w:rPr>
          <w:rFonts w:ascii="Times New Roman" w:eastAsiaTheme="majorEastAsia" w:hAnsi="Times New Roman" w:cs="Times New Roman"/>
          <w:iCs/>
          <w:sz w:val="24"/>
          <w:szCs w:val="24"/>
        </w:rPr>
        <w:t xml:space="preserve"> – </w:t>
      </w:r>
      <w:r w:rsidRPr="00BD5BB8">
        <w:rPr>
          <w:rFonts w:ascii="Times New Roman" w:eastAsiaTheme="majorEastAsia" w:hAnsi="Times New Roman" w:cs="Times New Roman"/>
          <w:iCs/>
          <w:sz w:val="24"/>
          <w:szCs w:val="24"/>
        </w:rPr>
        <w:t xml:space="preserve">2015 г. средната продължителност на живота в Африка е 60 години, в Азия </w:t>
      </w:r>
      <w:r w:rsidRPr="00BD5BB8">
        <w:rPr>
          <w:rFonts w:ascii="Times New Roman" w:eastAsia="MyriadPro-Regular" w:hAnsi="Times New Roman" w:cs="Times New Roman"/>
          <w:b/>
          <w:bCs/>
          <w:i/>
          <w:iCs/>
          <w:color w:val="4F81BD" w:themeColor="accent1"/>
          <w:sz w:val="24"/>
          <w:szCs w:val="24"/>
        </w:rPr>
        <w:t xml:space="preserve">– </w:t>
      </w:r>
      <w:r w:rsidRPr="00BD5BB8">
        <w:rPr>
          <w:rFonts w:ascii="Times New Roman" w:eastAsiaTheme="majorEastAsia" w:hAnsi="Times New Roman" w:cs="Times New Roman"/>
          <w:iCs/>
          <w:sz w:val="24"/>
          <w:szCs w:val="24"/>
        </w:rPr>
        <w:t xml:space="preserve">72 години, в Латинска Америка и Карибския басейн </w:t>
      </w:r>
      <w:r w:rsidRPr="00BD5BB8">
        <w:rPr>
          <w:rFonts w:ascii="Times New Roman" w:eastAsia="MyriadPro-Regular" w:hAnsi="Times New Roman" w:cs="Times New Roman"/>
          <w:b/>
          <w:bCs/>
          <w:i/>
          <w:iCs/>
          <w:color w:val="4F81BD" w:themeColor="accent1"/>
          <w:sz w:val="24"/>
          <w:szCs w:val="24"/>
        </w:rPr>
        <w:t xml:space="preserve">– </w:t>
      </w:r>
      <w:r w:rsidRPr="00BD5BB8">
        <w:rPr>
          <w:rFonts w:ascii="Times New Roman" w:eastAsiaTheme="majorEastAsia" w:hAnsi="Times New Roman" w:cs="Times New Roman"/>
          <w:iCs/>
          <w:sz w:val="24"/>
          <w:szCs w:val="24"/>
        </w:rPr>
        <w:t xml:space="preserve">75 години, в Европа и Океания </w:t>
      </w:r>
      <w:r w:rsidRPr="00BD5BB8">
        <w:rPr>
          <w:rFonts w:ascii="Times New Roman" w:eastAsia="MyriadPro-Regular" w:hAnsi="Times New Roman" w:cs="Times New Roman"/>
          <w:b/>
          <w:bCs/>
          <w:i/>
          <w:iCs/>
          <w:color w:val="4F81BD" w:themeColor="accent1"/>
          <w:sz w:val="24"/>
          <w:szCs w:val="24"/>
        </w:rPr>
        <w:t>–</w:t>
      </w:r>
      <w:r w:rsidRPr="00BD5BB8">
        <w:rPr>
          <w:rFonts w:ascii="Times New Roman" w:eastAsiaTheme="majorEastAsia" w:hAnsi="Times New Roman" w:cs="Times New Roman"/>
          <w:iCs/>
          <w:sz w:val="24"/>
          <w:szCs w:val="24"/>
        </w:rPr>
        <w:t xml:space="preserve"> 77 години и в Северна Америка </w:t>
      </w:r>
      <w:r w:rsidRPr="00BD5BB8">
        <w:rPr>
          <w:rFonts w:ascii="Times New Roman" w:eastAsia="MyriadPro-Regular" w:hAnsi="Times New Roman" w:cs="Times New Roman"/>
          <w:b/>
          <w:bCs/>
          <w:i/>
          <w:iCs/>
          <w:color w:val="4F81BD" w:themeColor="accent1"/>
          <w:sz w:val="24"/>
          <w:szCs w:val="24"/>
        </w:rPr>
        <w:t>–</w:t>
      </w:r>
      <w:r w:rsidRPr="00BD5BB8">
        <w:rPr>
          <w:rFonts w:ascii="Times New Roman" w:eastAsiaTheme="majorEastAsia" w:hAnsi="Times New Roman" w:cs="Times New Roman"/>
          <w:iCs/>
          <w:sz w:val="24"/>
          <w:szCs w:val="24"/>
        </w:rPr>
        <w:t xml:space="preserve"> 79 години. </w:t>
      </w:r>
    </w:p>
    <w:p w:rsidR="005F2097" w:rsidRPr="00BD5BB8" w:rsidRDefault="005F2097" w:rsidP="005F2097">
      <w:pPr>
        <w:spacing w:after="0" w:line="240" w:lineRule="auto"/>
        <w:jc w:val="both"/>
        <w:rPr>
          <w:rFonts w:ascii="Times New Roman" w:eastAsia="Times New Roman" w:hAnsi="Times New Roman" w:cs="Times New Roman"/>
          <w:color w:val="333333"/>
          <w:sz w:val="24"/>
          <w:szCs w:val="24"/>
        </w:rPr>
      </w:pPr>
    </w:p>
    <w:p w:rsidR="005F2097" w:rsidRPr="00BD5BB8" w:rsidRDefault="005F2097" w:rsidP="005F2097">
      <w:pPr>
        <w:keepNext/>
        <w:keepLines/>
        <w:spacing w:after="0" w:line="240" w:lineRule="auto"/>
        <w:jc w:val="center"/>
        <w:outlineLvl w:val="3"/>
        <w:rPr>
          <w:rFonts w:ascii="Times New Roman" w:eastAsiaTheme="majorEastAsia" w:hAnsi="Times New Roman" w:cs="Times New Roman"/>
          <w:b/>
          <w:iCs/>
          <w:sz w:val="24"/>
          <w:szCs w:val="24"/>
        </w:rPr>
      </w:pPr>
      <w:r w:rsidRPr="00BD5BB8">
        <w:rPr>
          <w:rFonts w:ascii="Times New Roman" w:eastAsiaTheme="majorEastAsia" w:hAnsi="Times New Roman" w:cs="Times New Roman"/>
          <w:b/>
          <w:iCs/>
          <w:sz w:val="24"/>
          <w:szCs w:val="24"/>
        </w:rPr>
        <w:t>Международна миграция</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Международната миграция обикновено се възприема като по-малко значим фактор за промяна в числеността на населението в сравнение с раждаемостта и смъртността. Въпреки това,  в някои страни и региони влиянието на миграцията е доста съществено. Към тези страни се отнасят страните на произход и на пребиваване на голямо в пропорционално отношение количество икономически мигранти и страни, към които се насочват потоци от бежанци.</w:t>
      </w:r>
    </w:p>
    <w:p w:rsidR="00192274" w:rsidRPr="00BD5BB8" w:rsidRDefault="005F2097" w:rsidP="009E509D">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r>
      <w:r w:rsidR="00536174" w:rsidRPr="00BD5BB8">
        <w:rPr>
          <w:rFonts w:ascii="Times New Roman" w:hAnsi="Times New Roman" w:cs="Times New Roman"/>
          <w:sz w:val="24"/>
          <w:szCs w:val="24"/>
        </w:rPr>
        <w:t>През 2017 г. броят на международните мигранти достигна 258 милиона, което е с 1</w:t>
      </w:r>
      <w:r w:rsidR="00D17EEB" w:rsidRPr="00BD5BB8">
        <w:rPr>
          <w:rFonts w:ascii="Times New Roman" w:hAnsi="Times New Roman" w:cs="Times New Roman"/>
          <w:sz w:val="24"/>
          <w:szCs w:val="24"/>
        </w:rPr>
        <w:t>0</w:t>
      </w:r>
      <w:r w:rsidR="00536174" w:rsidRPr="00BD5BB8">
        <w:rPr>
          <w:rFonts w:ascii="Times New Roman" w:hAnsi="Times New Roman" w:cs="Times New Roman"/>
          <w:sz w:val="24"/>
          <w:szCs w:val="24"/>
        </w:rPr>
        <w:t xml:space="preserve"> милиона повече от данните за 2015 г. </w:t>
      </w:r>
      <w:r w:rsidR="00D17EEB" w:rsidRPr="00BD5BB8">
        <w:rPr>
          <w:rFonts w:ascii="Times New Roman" w:hAnsi="Times New Roman" w:cs="Times New Roman"/>
          <w:sz w:val="24"/>
          <w:szCs w:val="24"/>
        </w:rPr>
        <w:t>5</w:t>
      </w:r>
      <w:r w:rsidR="009E509D" w:rsidRPr="00BD5BB8">
        <w:rPr>
          <w:rFonts w:ascii="Times New Roman" w:hAnsi="Times New Roman" w:cs="Times New Roman"/>
          <w:sz w:val="24"/>
          <w:szCs w:val="24"/>
        </w:rPr>
        <w:t>.</w:t>
      </w:r>
      <w:r w:rsidR="00D17EEB" w:rsidRPr="00BD5BB8">
        <w:rPr>
          <w:rFonts w:ascii="Times New Roman" w:hAnsi="Times New Roman" w:cs="Times New Roman"/>
          <w:sz w:val="24"/>
          <w:szCs w:val="24"/>
        </w:rPr>
        <w:t>3</w:t>
      </w:r>
      <w:r w:rsidR="00536174" w:rsidRPr="00BD5BB8">
        <w:rPr>
          <w:rFonts w:ascii="Times New Roman" w:hAnsi="Times New Roman" w:cs="Times New Roman"/>
          <w:sz w:val="24"/>
          <w:szCs w:val="24"/>
        </w:rPr>
        <w:t xml:space="preserve"> милиона са международни студенти</w:t>
      </w:r>
      <w:r w:rsidR="009E509D" w:rsidRPr="00BD5BB8">
        <w:rPr>
          <w:rStyle w:val="FootnoteReference"/>
          <w:rFonts w:ascii="Times New Roman" w:hAnsi="Times New Roman" w:cs="Times New Roman"/>
          <w:sz w:val="24"/>
          <w:szCs w:val="24"/>
        </w:rPr>
        <w:footnoteReference w:id="2"/>
      </w:r>
      <w:r w:rsidR="00536174" w:rsidRPr="00BD5BB8">
        <w:rPr>
          <w:rFonts w:ascii="Times New Roman" w:hAnsi="Times New Roman" w:cs="Times New Roman"/>
          <w:sz w:val="24"/>
          <w:szCs w:val="24"/>
        </w:rPr>
        <w:t xml:space="preserve"> и </w:t>
      </w:r>
      <w:r w:rsidR="00170827" w:rsidRPr="00BD5BB8">
        <w:rPr>
          <w:rFonts w:ascii="Times New Roman" w:hAnsi="Times New Roman" w:cs="Times New Roman"/>
          <w:sz w:val="24"/>
          <w:szCs w:val="24"/>
        </w:rPr>
        <w:t>164</w:t>
      </w:r>
      <w:r w:rsidR="00411B9B" w:rsidRPr="00BD5BB8">
        <w:rPr>
          <w:rFonts w:ascii="Times New Roman" w:hAnsi="Times New Roman" w:cs="Times New Roman"/>
          <w:sz w:val="24"/>
          <w:szCs w:val="24"/>
        </w:rPr>
        <w:t xml:space="preserve"> милиона са трудовите мигранти, концентрирани в страни с високи доходи. От всички трудови мигранти по целия свят, </w:t>
      </w:r>
      <w:r w:rsidR="009E509D" w:rsidRPr="00BD5BB8">
        <w:rPr>
          <w:rFonts w:ascii="Times New Roman" w:hAnsi="Times New Roman" w:cs="Times New Roman"/>
          <w:sz w:val="24"/>
          <w:szCs w:val="24"/>
        </w:rPr>
        <w:t>111.2 милиона (67.9 на сто) са заети в страни с високи доходи, 30.5 милиона (18.6%) са заети в страни със среден доход, 16.6 милиона (10,1 на сто) в страни с по-нисък среден доход и 5.6 милиона (3.4%) в страни с нисък доход.</w:t>
      </w:r>
      <w:r w:rsidR="003B278F" w:rsidRPr="00BD5BB8">
        <w:rPr>
          <w:rFonts w:ascii="Times New Roman" w:hAnsi="Times New Roman" w:cs="Times New Roman"/>
          <w:sz w:val="24"/>
          <w:szCs w:val="24"/>
        </w:rPr>
        <w:t xml:space="preserve"> </w:t>
      </w:r>
      <w:r w:rsidR="00192274" w:rsidRPr="00BD5BB8">
        <w:rPr>
          <w:rFonts w:ascii="Times New Roman" w:hAnsi="Times New Roman" w:cs="Times New Roman"/>
          <w:sz w:val="24"/>
          <w:szCs w:val="24"/>
        </w:rPr>
        <w:t xml:space="preserve">По-възрастните мигранти (на възраст 65+) представляват около </w:t>
      </w:r>
      <w:r w:rsidR="00411B9B" w:rsidRPr="00BD5BB8">
        <w:rPr>
          <w:rFonts w:ascii="Times New Roman" w:hAnsi="Times New Roman" w:cs="Times New Roman"/>
          <w:sz w:val="24"/>
          <w:szCs w:val="24"/>
        </w:rPr>
        <w:t>5</w:t>
      </w:r>
      <w:r w:rsidR="009E509D" w:rsidRPr="00BD5BB8">
        <w:rPr>
          <w:rFonts w:ascii="Times New Roman" w:hAnsi="Times New Roman" w:cs="Times New Roman"/>
          <w:sz w:val="24"/>
          <w:szCs w:val="24"/>
        </w:rPr>
        <w:t>.</w:t>
      </w:r>
      <w:r w:rsidR="00411B9B" w:rsidRPr="00BD5BB8">
        <w:rPr>
          <w:rFonts w:ascii="Times New Roman" w:hAnsi="Times New Roman" w:cs="Times New Roman"/>
          <w:sz w:val="24"/>
          <w:szCs w:val="24"/>
        </w:rPr>
        <w:t>2</w:t>
      </w:r>
      <w:r w:rsidR="00192274" w:rsidRPr="00BD5BB8">
        <w:rPr>
          <w:rFonts w:ascii="Times New Roman" w:hAnsi="Times New Roman" w:cs="Times New Roman"/>
          <w:sz w:val="24"/>
          <w:szCs w:val="24"/>
        </w:rPr>
        <w:t xml:space="preserve"> на сто от международния мигрантски поток.</w:t>
      </w:r>
      <w:r w:rsidR="003B278F" w:rsidRPr="00BD5BB8">
        <w:rPr>
          <w:rFonts w:ascii="Times New Roman" w:hAnsi="Times New Roman" w:cs="Times New Roman"/>
          <w:sz w:val="24"/>
          <w:szCs w:val="24"/>
        </w:rPr>
        <w:t xml:space="preserve"> (Източник: МОТ</w:t>
      </w:r>
      <w:r w:rsidR="002235BD" w:rsidRPr="00BD5BB8">
        <w:rPr>
          <w:rStyle w:val="FootnoteReference"/>
          <w:rFonts w:ascii="Times New Roman" w:hAnsi="Times New Roman" w:cs="Times New Roman"/>
          <w:sz w:val="24"/>
          <w:szCs w:val="24"/>
        </w:rPr>
        <w:footnoteReference w:id="3"/>
      </w:r>
      <w:r w:rsidR="003B278F" w:rsidRPr="00BD5BB8">
        <w:rPr>
          <w:rFonts w:ascii="Times New Roman" w:hAnsi="Times New Roman" w:cs="Times New Roman"/>
          <w:sz w:val="24"/>
          <w:szCs w:val="24"/>
        </w:rPr>
        <w:t>)</w:t>
      </w:r>
    </w:p>
    <w:p w:rsidR="00192274" w:rsidRPr="00BD5BB8" w:rsidRDefault="00192274" w:rsidP="00192274">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От 1990-2017 г. процентното разпределение на възрастните мигранти в общия международен мигрантски запас намалява леко от 11</w:t>
      </w:r>
      <w:r w:rsidR="00C362DE">
        <w:rPr>
          <w:rFonts w:ascii="Times New Roman" w:hAnsi="Times New Roman" w:cs="Times New Roman"/>
          <w:sz w:val="24"/>
          <w:szCs w:val="24"/>
        </w:rPr>
        <w:t>.</w:t>
      </w:r>
      <w:r w:rsidRPr="00BD5BB8">
        <w:rPr>
          <w:rFonts w:ascii="Times New Roman" w:hAnsi="Times New Roman" w:cs="Times New Roman"/>
          <w:sz w:val="24"/>
          <w:szCs w:val="24"/>
        </w:rPr>
        <w:t>8% през 1990 г. до 11</w:t>
      </w:r>
      <w:r w:rsidR="00C362DE">
        <w:rPr>
          <w:rFonts w:ascii="Times New Roman" w:hAnsi="Times New Roman" w:cs="Times New Roman"/>
          <w:sz w:val="24"/>
          <w:szCs w:val="24"/>
        </w:rPr>
        <w:t>.</w:t>
      </w:r>
      <w:r w:rsidRPr="00BD5BB8">
        <w:rPr>
          <w:rFonts w:ascii="Times New Roman" w:hAnsi="Times New Roman" w:cs="Times New Roman"/>
          <w:sz w:val="24"/>
          <w:szCs w:val="24"/>
        </w:rPr>
        <w:t>7% през 2017 г. Приблизителният брой на възрастните мигранти на възраст 65 и повече години в развитите региони нараства с повече от 11 милиона от 1990 до 2017 г., докато в развиващите се региони той се е увеличил само с по-малко от милион. Това се дължи на факта, че развитите страни в северното полукълбо са били дестинация на по-голямата част от международните мигранти, които впоследствие остаряват. Освен това фактът, че мигрантите, които живеят в южното полукълбо са склонни да се връщат в страните на произход, когато остаряват, обяснява защо прогнозният брой на възрастните мигранти нараства само в развитите региони (UN DESA, 2017).</w:t>
      </w:r>
    </w:p>
    <w:p w:rsidR="005F2097" w:rsidRPr="00BD5BB8" w:rsidRDefault="005F2097" w:rsidP="00536174">
      <w:pPr>
        <w:spacing w:after="0" w:line="240" w:lineRule="auto"/>
        <w:jc w:val="both"/>
        <w:rPr>
          <w:rFonts w:ascii="Times New Roman" w:hAnsi="Times New Roman" w:cs="Times New Roman"/>
          <w:color w:val="333333"/>
          <w:sz w:val="24"/>
          <w:szCs w:val="24"/>
        </w:rPr>
      </w:pPr>
    </w:p>
    <w:p w:rsidR="005F2097" w:rsidRPr="00BD5BB8" w:rsidRDefault="005F2097" w:rsidP="00E7186B">
      <w:pPr>
        <w:numPr>
          <w:ilvl w:val="1"/>
          <w:numId w:val="5"/>
        </w:numPr>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Демографските процеси в Европейския съюз </w:t>
      </w:r>
      <w:r w:rsidRPr="00BD5BB8">
        <w:rPr>
          <w:rFonts w:ascii="Times New Roman" w:eastAsia="Times New Roman" w:hAnsi="Times New Roman" w:cs="Times New Roman"/>
          <w:b/>
          <w:sz w:val="28"/>
          <w:szCs w:val="28"/>
          <w:vertAlign w:val="superscript"/>
          <w:lang w:eastAsia="bg-BG"/>
        </w:rPr>
        <w:footnoteReference w:id="4"/>
      </w:r>
    </w:p>
    <w:p w:rsidR="005F2097" w:rsidRPr="00BD5BB8" w:rsidRDefault="005F2097" w:rsidP="005F2097">
      <w:pPr>
        <w:spacing w:after="0" w:line="240" w:lineRule="auto"/>
        <w:jc w:val="center"/>
        <w:rPr>
          <w:rFonts w:ascii="Times New Roman" w:hAnsi="Times New Roman" w:cs="Times New Roman"/>
          <w:b/>
          <w:sz w:val="24"/>
          <w:szCs w:val="24"/>
        </w:rPr>
      </w:pPr>
    </w:p>
    <w:p w:rsidR="005F2097" w:rsidRPr="00BD5BB8" w:rsidRDefault="005F2097" w:rsidP="005F2097">
      <w:pPr>
        <w:autoSpaceDE w:val="0"/>
        <w:autoSpaceDN w:val="0"/>
        <w:adjustRightInd w:val="0"/>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Увеличава се движението на населението поради миграция.</w:t>
      </w:r>
    </w:p>
    <w:p w:rsidR="005F2097" w:rsidRPr="00BD5BB8" w:rsidRDefault="005F2097" w:rsidP="005F2097">
      <w:pPr>
        <w:autoSpaceDE w:val="0"/>
        <w:autoSpaceDN w:val="0"/>
        <w:adjustRightInd w:val="0"/>
        <w:spacing w:after="0" w:line="240" w:lineRule="auto"/>
        <w:jc w:val="center"/>
        <w:rPr>
          <w:rFonts w:ascii="Times New Roman" w:hAnsi="Times New Roman" w:cs="Times New Roman"/>
          <w:sz w:val="24"/>
          <w:szCs w:val="24"/>
        </w:rPr>
      </w:pP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На 1 януари 201</w:t>
      </w:r>
      <w:r w:rsidR="00C07F3F" w:rsidRPr="00BD5BB8">
        <w:rPr>
          <w:rFonts w:ascii="Times New Roman" w:hAnsi="Times New Roman" w:cs="Times New Roman"/>
          <w:sz w:val="24"/>
          <w:szCs w:val="24"/>
        </w:rPr>
        <w:t>9</w:t>
      </w:r>
      <w:r w:rsidRPr="00BD5BB8">
        <w:rPr>
          <w:rFonts w:ascii="Times New Roman" w:hAnsi="Times New Roman" w:cs="Times New Roman"/>
          <w:sz w:val="24"/>
          <w:szCs w:val="24"/>
        </w:rPr>
        <w:t xml:space="preserve"> г. населението на Европейския съюз (ЕС) се оценява на 51</w:t>
      </w:r>
      <w:r w:rsidR="00C07F3F" w:rsidRPr="00BD5BB8">
        <w:rPr>
          <w:rFonts w:ascii="Times New Roman" w:hAnsi="Times New Roman" w:cs="Times New Roman"/>
          <w:sz w:val="24"/>
          <w:szCs w:val="24"/>
        </w:rPr>
        <w:t>3</w:t>
      </w:r>
      <w:r w:rsidR="00B7054B" w:rsidRPr="00BD5BB8">
        <w:rPr>
          <w:rFonts w:ascii="Times New Roman" w:hAnsi="Times New Roman" w:cs="Times New Roman"/>
          <w:sz w:val="24"/>
          <w:szCs w:val="24"/>
        </w:rPr>
        <w:t>.</w:t>
      </w:r>
      <w:r w:rsidR="00C07F3F" w:rsidRPr="00BD5BB8">
        <w:rPr>
          <w:rFonts w:ascii="Times New Roman" w:hAnsi="Times New Roman" w:cs="Times New Roman"/>
          <w:sz w:val="24"/>
          <w:szCs w:val="24"/>
        </w:rPr>
        <w:t>5</w:t>
      </w:r>
      <w:r w:rsidRPr="00BD5BB8">
        <w:rPr>
          <w:rFonts w:ascii="Times New Roman" w:hAnsi="Times New Roman" w:cs="Times New Roman"/>
          <w:sz w:val="24"/>
          <w:szCs w:val="24"/>
        </w:rPr>
        <w:t xml:space="preserve"> милиона, при 51</w:t>
      </w:r>
      <w:r w:rsidR="00C07F3F" w:rsidRPr="00BD5BB8">
        <w:rPr>
          <w:rFonts w:ascii="Times New Roman" w:hAnsi="Times New Roman" w:cs="Times New Roman"/>
          <w:sz w:val="24"/>
          <w:szCs w:val="24"/>
        </w:rPr>
        <w:t>2</w:t>
      </w:r>
      <w:r w:rsidR="00B7054B" w:rsidRPr="00BD5BB8">
        <w:rPr>
          <w:rFonts w:ascii="Times New Roman" w:hAnsi="Times New Roman" w:cs="Times New Roman"/>
          <w:sz w:val="24"/>
          <w:szCs w:val="24"/>
        </w:rPr>
        <w:t>.</w:t>
      </w:r>
      <w:r w:rsidR="00C07F3F" w:rsidRPr="00BD5BB8">
        <w:rPr>
          <w:rFonts w:ascii="Times New Roman" w:hAnsi="Times New Roman" w:cs="Times New Roman"/>
          <w:sz w:val="24"/>
          <w:szCs w:val="24"/>
        </w:rPr>
        <w:t>4</w:t>
      </w:r>
      <w:r w:rsidRPr="00BD5BB8">
        <w:rPr>
          <w:rFonts w:ascii="Times New Roman" w:hAnsi="Times New Roman" w:cs="Times New Roman"/>
          <w:sz w:val="24"/>
          <w:szCs w:val="24"/>
        </w:rPr>
        <w:t xml:space="preserve"> млн. на 1 януари 201</w:t>
      </w:r>
      <w:r w:rsidR="00C07F3F"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w:t>
      </w:r>
    </w:p>
    <w:p w:rsidR="005F2097" w:rsidRPr="00BD5BB8" w:rsidRDefault="00C07F3F"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През 2018</w:t>
      </w:r>
      <w:r w:rsidR="005F2097" w:rsidRPr="00BD5BB8">
        <w:rPr>
          <w:rFonts w:ascii="Times New Roman" w:hAnsi="Times New Roman" w:cs="Times New Roman"/>
          <w:sz w:val="24"/>
          <w:szCs w:val="24"/>
        </w:rPr>
        <w:t xml:space="preserve"> г. </w:t>
      </w:r>
      <w:r w:rsidR="00B7054B" w:rsidRPr="00BD5BB8">
        <w:rPr>
          <w:rFonts w:ascii="Times New Roman" w:hAnsi="Times New Roman" w:cs="Times New Roman"/>
          <w:sz w:val="24"/>
          <w:szCs w:val="24"/>
        </w:rPr>
        <w:t>са</w:t>
      </w:r>
      <w:r w:rsidR="005F2097" w:rsidRPr="00BD5BB8">
        <w:rPr>
          <w:rFonts w:ascii="Times New Roman" w:hAnsi="Times New Roman" w:cs="Times New Roman"/>
          <w:sz w:val="24"/>
          <w:szCs w:val="24"/>
        </w:rPr>
        <w:t xml:space="preserve"> регистрирани</w:t>
      </w:r>
      <w:r w:rsidR="00B7054B" w:rsidRPr="00BD5BB8">
        <w:rPr>
          <w:rFonts w:ascii="Times New Roman" w:hAnsi="Times New Roman" w:cs="Times New Roman"/>
          <w:sz w:val="24"/>
          <w:szCs w:val="24"/>
        </w:rPr>
        <w:t xml:space="preserve"> повече</w:t>
      </w:r>
      <w:r w:rsidR="005F2097" w:rsidRPr="00BD5BB8">
        <w:rPr>
          <w:rFonts w:ascii="Times New Roman" w:hAnsi="Times New Roman" w:cs="Times New Roman"/>
          <w:sz w:val="24"/>
          <w:szCs w:val="24"/>
        </w:rPr>
        <w:t xml:space="preserve"> умирания</w:t>
      </w:r>
      <w:r w:rsidR="00B7054B" w:rsidRPr="00BD5BB8">
        <w:rPr>
          <w:rFonts w:ascii="Times New Roman" w:hAnsi="Times New Roman" w:cs="Times New Roman"/>
          <w:sz w:val="24"/>
          <w:szCs w:val="24"/>
        </w:rPr>
        <w:t xml:space="preserve">, отколкото раждания </w:t>
      </w:r>
      <w:r w:rsidR="005F2097" w:rsidRPr="00BD5BB8">
        <w:rPr>
          <w:rFonts w:ascii="Times New Roman" w:hAnsi="Times New Roman" w:cs="Times New Roman"/>
          <w:sz w:val="24"/>
          <w:szCs w:val="24"/>
        </w:rPr>
        <w:t>(</w:t>
      </w:r>
      <w:r w:rsidR="00B7054B" w:rsidRPr="00BD5BB8">
        <w:rPr>
          <w:rFonts w:ascii="Times New Roman" w:hAnsi="Times New Roman" w:cs="Times New Roman"/>
          <w:sz w:val="24"/>
          <w:szCs w:val="24"/>
        </w:rPr>
        <w:t xml:space="preserve">5.3 милиона умирания и </w:t>
      </w:r>
      <w:r w:rsidR="005F2097" w:rsidRPr="00BD5BB8">
        <w:rPr>
          <w:rFonts w:ascii="Times New Roman" w:hAnsi="Times New Roman" w:cs="Times New Roman"/>
          <w:sz w:val="24"/>
          <w:szCs w:val="24"/>
        </w:rPr>
        <w:t>5</w:t>
      </w:r>
      <w:r w:rsidR="00B7054B" w:rsidRPr="00BD5BB8">
        <w:rPr>
          <w:rFonts w:ascii="Times New Roman" w:hAnsi="Times New Roman" w:cs="Times New Roman"/>
          <w:sz w:val="24"/>
          <w:szCs w:val="24"/>
        </w:rPr>
        <w:t>.0</w:t>
      </w:r>
      <w:r w:rsidR="005F2097" w:rsidRPr="00BD5BB8">
        <w:rPr>
          <w:rFonts w:ascii="Times New Roman" w:hAnsi="Times New Roman" w:cs="Times New Roman"/>
          <w:sz w:val="24"/>
          <w:szCs w:val="24"/>
        </w:rPr>
        <w:t xml:space="preserve"> милиона</w:t>
      </w:r>
      <w:r w:rsidR="00B7054B" w:rsidRPr="00BD5BB8">
        <w:rPr>
          <w:rFonts w:ascii="Times New Roman" w:hAnsi="Times New Roman" w:cs="Times New Roman"/>
          <w:sz w:val="24"/>
          <w:szCs w:val="24"/>
        </w:rPr>
        <w:t xml:space="preserve"> раждания</w:t>
      </w:r>
      <w:r w:rsidR="005F2097" w:rsidRPr="00BD5BB8">
        <w:rPr>
          <w:rFonts w:ascii="Times New Roman" w:hAnsi="Times New Roman" w:cs="Times New Roman"/>
          <w:sz w:val="24"/>
          <w:szCs w:val="24"/>
        </w:rPr>
        <w:t>),</w:t>
      </w:r>
      <w:r w:rsidR="00B7054B" w:rsidRPr="00BD5BB8">
        <w:rPr>
          <w:rFonts w:ascii="Times New Roman" w:hAnsi="Times New Roman" w:cs="Times New Roman"/>
          <w:sz w:val="24"/>
          <w:szCs w:val="24"/>
        </w:rPr>
        <w:t xml:space="preserve"> което означава, че</w:t>
      </w:r>
      <w:r w:rsidR="005F2097" w:rsidRPr="00BD5BB8">
        <w:rPr>
          <w:rFonts w:ascii="Times New Roman" w:hAnsi="Times New Roman" w:cs="Times New Roman"/>
          <w:sz w:val="24"/>
          <w:szCs w:val="24"/>
        </w:rPr>
        <w:t xml:space="preserve"> естественият прираст на населението е </w:t>
      </w:r>
      <w:r w:rsidR="00B7054B" w:rsidRPr="00BD5BB8">
        <w:rPr>
          <w:rFonts w:ascii="Times New Roman" w:hAnsi="Times New Roman" w:cs="Times New Roman"/>
          <w:sz w:val="24"/>
          <w:szCs w:val="24"/>
        </w:rPr>
        <w:t>отрицателен за втора поредна година</w:t>
      </w:r>
      <w:r w:rsidR="005F2097" w:rsidRPr="00BD5BB8">
        <w:rPr>
          <w:rFonts w:ascii="Times New Roman" w:hAnsi="Times New Roman" w:cs="Times New Roman"/>
          <w:sz w:val="24"/>
          <w:szCs w:val="24"/>
        </w:rPr>
        <w:t xml:space="preserve">. </w:t>
      </w:r>
      <w:r w:rsidR="005F2097" w:rsidRPr="00BD5BB8">
        <w:rPr>
          <w:rFonts w:ascii="Times New Roman" w:hAnsi="Times New Roman" w:cs="Times New Roman"/>
          <w:b/>
          <w:sz w:val="24"/>
          <w:szCs w:val="24"/>
        </w:rPr>
        <w:t>Увеличаването на броя на населението (с 1</w:t>
      </w:r>
      <w:r w:rsidR="00B7054B" w:rsidRPr="00BD5BB8">
        <w:rPr>
          <w:rFonts w:ascii="Times New Roman" w:hAnsi="Times New Roman" w:cs="Times New Roman"/>
          <w:b/>
          <w:sz w:val="24"/>
          <w:szCs w:val="24"/>
        </w:rPr>
        <w:t>.1</w:t>
      </w:r>
      <w:r w:rsidR="005F2097" w:rsidRPr="00BD5BB8">
        <w:rPr>
          <w:rFonts w:ascii="Times New Roman" w:hAnsi="Times New Roman" w:cs="Times New Roman"/>
          <w:b/>
          <w:sz w:val="24"/>
          <w:szCs w:val="24"/>
        </w:rPr>
        <w:t xml:space="preserve"> милиона повече жители) се дължи на нетната миграция.</w:t>
      </w:r>
      <w:r w:rsidR="005F2097" w:rsidRPr="00BD5BB8">
        <w:rPr>
          <w:rFonts w:ascii="Times New Roman" w:hAnsi="Times New Roman" w:cs="Times New Roman"/>
          <w:sz w:val="24"/>
          <w:szCs w:val="24"/>
        </w:rPr>
        <w:t xml:space="preserve"> </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lastRenderedPageBreak/>
        <w:t xml:space="preserve">С </w:t>
      </w:r>
      <w:r w:rsidR="00B7054B" w:rsidRPr="00BD5BB8">
        <w:rPr>
          <w:rFonts w:ascii="Times New Roman" w:hAnsi="Times New Roman" w:cs="Times New Roman"/>
          <w:sz w:val="24"/>
          <w:szCs w:val="24"/>
        </w:rPr>
        <w:t>83</w:t>
      </w:r>
      <w:r w:rsidRPr="00BD5BB8">
        <w:rPr>
          <w:rFonts w:ascii="Times New Roman" w:hAnsi="Times New Roman" w:cs="Times New Roman"/>
          <w:sz w:val="24"/>
          <w:szCs w:val="24"/>
        </w:rPr>
        <w:t xml:space="preserve"> милиона жители (или с 16</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2% от цялото население на ЕС към 1 януари 201</w:t>
      </w:r>
      <w:r w:rsidR="00B7054B" w:rsidRPr="00BD5BB8">
        <w:rPr>
          <w:rFonts w:ascii="Times New Roman" w:hAnsi="Times New Roman" w:cs="Times New Roman"/>
          <w:sz w:val="24"/>
          <w:szCs w:val="24"/>
        </w:rPr>
        <w:t>9</w:t>
      </w:r>
      <w:r w:rsidRPr="00BD5BB8">
        <w:rPr>
          <w:rFonts w:ascii="Times New Roman" w:hAnsi="Times New Roman" w:cs="Times New Roman"/>
          <w:sz w:val="24"/>
          <w:szCs w:val="24"/>
        </w:rPr>
        <w:t xml:space="preserve"> г</w:t>
      </w:r>
      <w:r w:rsidR="002235BD" w:rsidRPr="00BD5BB8">
        <w:rPr>
          <w:rFonts w:ascii="Times New Roman" w:hAnsi="Times New Roman" w:cs="Times New Roman"/>
          <w:sz w:val="24"/>
          <w:szCs w:val="24"/>
        </w:rPr>
        <w:t>одина</w:t>
      </w:r>
      <w:r w:rsidRPr="00BD5BB8">
        <w:rPr>
          <w:rFonts w:ascii="Times New Roman" w:hAnsi="Times New Roman" w:cs="Times New Roman"/>
          <w:sz w:val="24"/>
          <w:szCs w:val="24"/>
        </w:rPr>
        <w:t>), Германия е с най-многобройното население сред държавите-членки на ЕС, следвана от Франция (67</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0 млн.</w:t>
      </w:r>
      <w:r w:rsidR="00B7054B" w:rsidRPr="00BD5BB8">
        <w:rPr>
          <w:rFonts w:ascii="Times New Roman" w:hAnsi="Times New Roman" w:cs="Times New Roman"/>
          <w:sz w:val="24"/>
          <w:szCs w:val="24"/>
        </w:rPr>
        <w:t>, или 13.1%), Великобритания (66</w:t>
      </w:r>
      <w:r w:rsidR="001177B8" w:rsidRPr="00BD5BB8">
        <w:rPr>
          <w:rFonts w:ascii="Times New Roman" w:hAnsi="Times New Roman" w:cs="Times New Roman"/>
          <w:sz w:val="24"/>
          <w:szCs w:val="24"/>
        </w:rPr>
        <w:t>.6</w:t>
      </w:r>
      <w:r w:rsidRPr="00BD5BB8">
        <w:rPr>
          <w:rFonts w:ascii="Times New Roman" w:hAnsi="Times New Roman" w:cs="Times New Roman"/>
          <w:sz w:val="24"/>
          <w:szCs w:val="24"/>
        </w:rPr>
        <w:t xml:space="preserve"> млн., или </w:t>
      </w:r>
      <w:r w:rsidR="00B7054B" w:rsidRPr="00BD5BB8">
        <w:rPr>
          <w:rFonts w:ascii="Times New Roman" w:hAnsi="Times New Roman" w:cs="Times New Roman"/>
          <w:sz w:val="24"/>
          <w:szCs w:val="24"/>
        </w:rPr>
        <w:t>13</w:t>
      </w:r>
      <w:r w:rsidRPr="00BD5BB8">
        <w:rPr>
          <w:rFonts w:ascii="Times New Roman" w:hAnsi="Times New Roman" w:cs="Times New Roman"/>
          <w:sz w:val="24"/>
          <w:szCs w:val="24"/>
        </w:rPr>
        <w:t>%), Италия (60</w:t>
      </w:r>
      <w:r w:rsidR="00B7054B" w:rsidRPr="00BD5BB8">
        <w:rPr>
          <w:rFonts w:ascii="Times New Roman" w:hAnsi="Times New Roman" w:cs="Times New Roman"/>
          <w:sz w:val="24"/>
          <w:szCs w:val="24"/>
        </w:rPr>
        <w:t>.4</w:t>
      </w:r>
      <w:r w:rsidRPr="00BD5BB8">
        <w:rPr>
          <w:rFonts w:ascii="Times New Roman" w:hAnsi="Times New Roman" w:cs="Times New Roman"/>
          <w:sz w:val="24"/>
          <w:szCs w:val="24"/>
        </w:rPr>
        <w:t xml:space="preserve"> млн., или 11</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8%), Испания (46</w:t>
      </w:r>
      <w:r w:rsidR="00B7054B" w:rsidRPr="00BD5BB8">
        <w:rPr>
          <w:rFonts w:ascii="Times New Roman" w:hAnsi="Times New Roman" w:cs="Times New Roman"/>
          <w:sz w:val="24"/>
          <w:szCs w:val="24"/>
        </w:rPr>
        <w:t>.9</w:t>
      </w:r>
      <w:r w:rsidRPr="00BD5BB8">
        <w:rPr>
          <w:rFonts w:ascii="Times New Roman" w:hAnsi="Times New Roman" w:cs="Times New Roman"/>
          <w:sz w:val="24"/>
          <w:szCs w:val="24"/>
        </w:rPr>
        <w:t xml:space="preserve"> млн., или 9</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1%) и Полша (38</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0 млн., или 7</w:t>
      </w:r>
      <w:r w:rsidR="00B7054B" w:rsidRPr="00BD5BB8">
        <w:rPr>
          <w:rFonts w:ascii="Times New Roman" w:hAnsi="Times New Roman" w:cs="Times New Roman"/>
          <w:sz w:val="24"/>
          <w:szCs w:val="24"/>
        </w:rPr>
        <w:t>.</w:t>
      </w:r>
      <w:r w:rsidRPr="00BD5BB8">
        <w:rPr>
          <w:rFonts w:ascii="Times New Roman" w:hAnsi="Times New Roman" w:cs="Times New Roman"/>
          <w:sz w:val="24"/>
          <w:szCs w:val="24"/>
        </w:rPr>
        <w:t xml:space="preserve">4%). За останалите държави-членки, </w:t>
      </w:r>
      <w:r w:rsidR="00B7054B" w:rsidRPr="00BD5BB8">
        <w:rPr>
          <w:rFonts w:ascii="Times New Roman" w:hAnsi="Times New Roman" w:cs="Times New Roman"/>
          <w:sz w:val="24"/>
          <w:szCs w:val="24"/>
        </w:rPr>
        <w:t>четиринадест</w:t>
      </w:r>
      <w:r w:rsidRPr="00BD5BB8">
        <w:rPr>
          <w:rFonts w:ascii="Times New Roman" w:hAnsi="Times New Roman" w:cs="Times New Roman"/>
          <w:sz w:val="24"/>
          <w:szCs w:val="24"/>
        </w:rPr>
        <w:t xml:space="preserve"> имат дял между </w:t>
      </w:r>
      <w:r w:rsidR="00B7054B" w:rsidRPr="00BD5BB8">
        <w:rPr>
          <w:rFonts w:ascii="Times New Roman" w:hAnsi="Times New Roman" w:cs="Times New Roman"/>
          <w:sz w:val="24"/>
          <w:szCs w:val="24"/>
        </w:rPr>
        <w:t xml:space="preserve">1%  и </w:t>
      </w:r>
      <w:r w:rsidRPr="00BD5BB8">
        <w:rPr>
          <w:rFonts w:ascii="Times New Roman" w:hAnsi="Times New Roman" w:cs="Times New Roman"/>
          <w:sz w:val="24"/>
          <w:szCs w:val="24"/>
        </w:rPr>
        <w:t xml:space="preserve">4% от населението на ЕС и </w:t>
      </w:r>
      <w:r w:rsidR="00B7054B" w:rsidRPr="00BD5BB8">
        <w:rPr>
          <w:rFonts w:ascii="Times New Roman" w:hAnsi="Times New Roman" w:cs="Times New Roman"/>
          <w:sz w:val="24"/>
          <w:szCs w:val="24"/>
        </w:rPr>
        <w:t>осем</w:t>
      </w:r>
      <w:r w:rsidRPr="00BD5BB8">
        <w:rPr>
          <w:rFonts w:ascii="Times New Roman" w:hAnsi="Times New Roman" w:cs="Times New Roman"/>
          <w:sz w:val="24"/>
          <w:szCs w:val="24"/>
        </w:rPr>
        <w:t xml:space="preserve"> – </w:t>
      </w:r>
      <w:r w:rsidR="00B7054B" w:rsidRPr="00BD5BB8">
        <w:rPr>
          <w:rFonts w:ascii="Times New Roman" w:hAnsi="Times New Roman" w:cs="Times New Roman"/>
          <w:sz w:val="24"/>
          <w:szCs w:val="24"/>
        </w:rPr>
        <w:t>дял под 1</w:t>
      </w:r>
      <w:r w:rsidRPr="00BD5BB8">
        <w:rPr>
          <w:rFonts w:ascii="Times New Roman" w:hAnsi="Times New Roman" w:cs="Times New Roman"/>
          <w:sz w:val="24"/>
          <w:szCs w:val="24"/>
        </w:rPr>
        <w:t>%. Тези данни са публикувани от Евростат, статистическата служба на Европейския съюз, непосредствено преди Световния Ден на населението (11 юли).</w:t>
      </w:r>
    </w:p>
    <w:p w:rsidR="005F2097" w:rsidRPr="00BD5BB8" w:rsidRDefault="005F2097" w:rsidP="005F2097">
      <w:pPr>
        <w:autoSpaceDE w:val="0"/>
        <w:autoSpaceDN w:val="0"/>
        <w:adjustRightInd w:val="0"/>
        <w:spacing w:after="0" w:line="240" w:lineRule="auto"/>
        <w:jc w:val="both"/>
        <w:rPr>
          <w:rFonts w:ascii="Times New Roman" w:hAnsi="Times New Roman" w:cs="Times New Roman"/>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Населението в осемнадесет държави-членки на ЕС се увеличава</w:t>
      </w:r>
    </w:p>
    <w:p w:rsidR="005F2097" w:rsidRPr="00BD5BB8" w:rsidRDefault="005F2097" w:rsidP="005F2097">
      <w:pPr>
        <w:spacing w:after="0" w:line="240" w:lineRule="auto"/>
        <w:jc w:val="center"/>
        <w:rPr>
          <w:rFonts w:ascii="Times New Roman" w:hAnsi="Times New Roman" w:cs="Times New Roman"/>
          <w:b/>
          <w:sz w:val="24"/>
          <w:szCs w:val="24"/>
        </w:rPr>
      </w:pPr>
    </w:p>
    <w:p w:rsidR="005F2097" w:rsidRPr="00BD5BB8" w:rsidRDefault="005F2097" w:rsidP="005F2097">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През 201</w:t>
      </w:r>
      <w:r w:rsidR="00B7054B" w:rsidRPr="00BD5BB8">
        <w:rPr>
          <w:rFonts w:ascii="Times New Roman" w:hAnsi="Times New Roman" w:cs="Times New Roman"/>
          <w:sz w:val="24"/>
          <w:szCs w:val="24"/>
        </w:rPr>
        <w:t>8</w:t>
      </w:r>
      <w:r w:rsidR="00A93B70"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г. населението се е увеличило в осемнадесет държави-членки на ЕС и е намаляло в десет. Най-голямо относително увеличение се наблюдава в </w:t>
      </w:r>
      <w:r w:rsidR="00B7054B" w:rsidRPr="00BD5BB8">
        <w:rPr>
          <w:rFonts w:ascii="Times New Roman" w:hAnsi="Times New Roman" w:cs="Times New Roman"/>
          <w:sz w:val="24"/>
          <w:szCs w:val="24"/>
        </w:rPr>
        <w:t>Малта (+36</w:t>
      </w:r>
      <w:r w:rsidR="00A93B70" w:rsidRPr="00BD5BB8">
        <w:rPr>
          <w:rFonts w:ascii="Times New Roman" w:hAnsi="Times New Roman" w:cs="Times New Roman"/>
          <w:sz w:val="24"/>
          <w:szCs w:val="24"/>
        </w:rPr>
        <w:t>.</w:t>
      </w:r>
      <w:r w:rsidRPr="00BD5BB8">
        <w:rPr>
          <w:rFonts w:ascii="Times New Roman" w:hAnsi="Times New Roman" w:cs="Times New Roman"/>
          <w:sz w:val="24"/>
          <w:szCs w:val="24"/>
        </w:rPr>
        <w:t xml:space="preserve">8 на 1 000 жители), пред </w:t>
      </w:r>
      <w:r w:rsidR="00B7054B" w:rsidRPr="00BD5BB8">
        <w:rPr>
          <w:rFonts w:ascii="Times New Roman" w:hAnsi="Times New Roman" w:cs="Times New Roman"/>
          <w:sz w:val="24"/>
          <w:szCs w:val="24"/>
        </w:rPr>
        <w:t>Люксембург (</w:t>
      </w:r>
      <w:r w:rsidR="00A93B70" w:rsidRPr="00BD5BB8">
        <w:rPr>
          <w:rFonts w:ascii="Times New Roman" w:hAnsi="Times New Roman" w:cs="Times New Roman"/>
          <w:sz w:val="24"/>
          <w:szCs w:val="24"/>
        </w:rPr>
        <w:t>+</w:t>
      </w:r>
      <w:r w:rsidR="00B7054B" w:rsidRPr="00BD5BB8">
        <w:rPr>
          <w:rFonts w:ascii="Times New Roman" w:hAnsi="Times New Roman" w:cs="Times New Roman"/>
          <w:sz w:val="24"/>
          <w:szCs w:val="24"/>
        </w:rPr>
        <w:t xml:space="preserve">19.6‰), </w:t>
      </w:r>
      <w:r w:rsidRPr="00BD5BB8">
        <w:rPr>
          <w:rFonts w:ascii="Times New Roman" w:hAnsi="Times New Roman" w:cs="Times New Roman"/>
          <w:sz w:val="24"/>
          <w:szCs w:val="24"/>
        </w:rPr>
        <w:t>Ирландия (+ 1</w:t>
      </w:r>
      <w:r w:rsidR="00C52538" w:rsidRPr="00BD5BB8">
        <w:rPr>
          <w:rFonts w:ascii="Times New Roman" w:hAnsi="Times New Roman" w:cs="Times New Roman"/>
          <w:sz w:val="24"/>
          <w:szCs w:val="24"/>
        </w:rPr>
        <w:t>5,2</w:t>
      </w:r>
      <w:r w:rsidRPr="00BD5BB8">
        <w:rPr>
          <w:rFonts w:ascii="Times New Roman" w:hAnsi="Times New Roman" w:cs="Times New Roman"/>
          <w:sz w:val="24"/>
          <w:szCs w:val="24"/>
        </w:rPr>
        <w:t xml:space="preserve"> ‰), </w:t>
      </w:r>
      <w:r w:rsidR="00C52538" w:rsidRPr="00BD5BB8">
        <w:rPr>
          <w:rFonts w:ascii="Times New Roman" w:hAnsi="Times New Roman" w:cs="Times New Roman"/>
          <w:sz w:val="24"/>
          <w:szCs w:val="24"/>
        </w:rPr>
        <w:t>Кипър (+13.4 ‰), Швеция (+10.8‰), Словения (+6.8‰),</w:t>
      </w:r>
      <w:r w:rsidRPr="00BD5BB8">
        <w:rPr>
          <w:rFonts w:ascii="Times New Roman" w:hAnsi="Times New Roman" w:cs="Times New Roman"/>
          <w:sz w:val="24"/>
          <w:szCs w:val="24"/>
        </w:rPr>
        <w:t xml:space="preserve"> </w:t>
      </w:r>
      <w:r w:rsidR="00C52538" w:rsidRPr="00BD5BB8">
        <w:rPr>
          <w:rFonts w:ascii="Times New Roman" w:hAnsi="Times New Roman" w:cs="Times New Roman"/>
          <w:sz w:val="24"/>
          <w:szCs w:val="24"/>
        </w:rPr>
        <w:t>Белгия</w:t>
      </w:r>
      <w:r w:rsidR="00A93B70" w:rsidRPr="00BD5BB8">
        <w:rPr>
          <w:rFonts w:ascii="Times New Roman" w:hAnsi="Times New Roman" w:cs="Times New Roman"/>
          <w:sz w:val="24"/>
          <w:szCs w:val="24"/>
        </w:rPr>
        <w:t xml:space="preserve"> (+</w:t>
      </w:r>
      <w:r w:rsidR="00C52538" w:rsidRPr="00BD5BB8">
        <w:rPr>
          <w:rFonts w:ascii="Times New Roman" w:hAnsi="Times New Roman" w:cs="Times New Roman"/>
          <w:sz w:val="24"/>
          <w:szCs w:val="24"/>
        </w:rPr>
        <w:t>6.1</w:t>
      </w:r>
      <w:r w:rsidRPr="00BD5BB8">
        <w:rPr>
          <w:rFonts w:ascii="Times New Roman" w:hAnsi="Times New Roman" w:cs="Times New Roman"/>
          <w:sz w:val="24"/>
          <w:szCs w:val="24"/>
        </w:rPr>
        <w:t xml:space="preserve"> ‰), </w:t>
      </w:r>
      <w:r w:rsidR="00C52538" w:rsidRPr="00BD5BB8">
        <w:rPr>
          <w:rFonts w:ascii="Times New Roman" w:hAnsi="Times New Roman" w:cs="Times New Roman"/>
          <w:sz w:val="24"/>
          <w:szCs w:val="24"/>
        </w:rPr>
        <w:t>Испания и Нидерландия (и двете с + 5.9‰) и (</w:t>
      </w:r>
      <w:r w:rsidRPr="00BD5BB8">
        <w:rPr>
          <w:rFonts w:ascii="Times New Roman" w:hAnsi="Times New Roman" w:cs="Times New Roman"/>
          <w:sz w:val="24"/>
          <w:szCs w:val="24"/>
        </w:rPr>
        <w:t>Великобритания (+</w:t>
      </w:r>
      <w:r w:rsidR="00C52538" w:rsidRPr="00BD5BB8">
        <w:rPr>
          <w:rFonts w:ascii="Times New Roman" w:hAnsi="Times New Roman" w:cs="Times New Roman"/>
          <w:sz w:val="24"/>
          <w:szCs w:val="24"/>
        </w:rPr>
        <w:t>5.6</w:t>
      </w:r>
      <w:r w:rsidRPr="00BD5BB8">
        <w:rPr>
          <w:rFonts w:ascii="Times New Roman" w:hAnsi="Times New Roman" w:cs="Times New Roman"/>
          <w:sz w:val="24"/>
          <w:szCs w:val="24"/>
        </w:rPr>
        <w:t>‰)</w:t>
      </w:r>
      <w:r w:rsidR="00C52538" w:rsidRPr="00BD5BB8">
        <w:rPr>
          <w:rFonts w:ascii="Times New Roman" w:hAnsi="Times New Roman" w:cs="Times New Roman"/>
          <w:sz w:val="24"/>
          <w:szCs w:val="24"/>
        </w:rPr>
        <w:t>.</w:t>
      </w:r>
      <w:r w:rsidRPr="00BD5BB8">
        <w:rPr>
          <w:rFonts w:ascii="Times New Roman" w:hAnsi="Times New Roman" w:cs="Times New Roman"/>
          <w:sz w:val="24"/>
          <w:szCs w:val="24"/>
        </w:rPr>
        <w:t xml:space="preserve"> </w:t>
      </w:r>
      <w:r w:rsidR="00C52538"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 За разлика от тях, най-голямо намаление </w:t>
      </w:r>
      <w:r w:rsidR="00A93B70" w:rsidRPr="00BD5BB8">
        <w:rPr>
          <w:rFonts w:ascii="Times New Roman" w:hAnsi="Times New Roman" w:cs="Times New Roman"/>
          <w:sz w:val="24"/>
          <w:szCs w:val="24"/>
        </w:rPr>
        <w:t xml:space="preserve">има в </w:t>
      </w:r>
      <w:r w:rsidRPr="00BD5BB8">
        <w:rPr>
          <w:rFonts w:ascii="Times New Roman" w:hAnsi="Times New Roman" w:cs="Times New Roman"/>
          <w:sz w:val="24"/>
          <w:szCs w:val="24"/>
        </w:rPr>
        <w:t>Латвия (-</w:t>
      </w:r>
      <w:r w:rsidR="00A93B70" w:rsidRPr="00BD5BB8">
        <w:rPr>
          <w:rFonts w:ascii="Times New Roman" w:hAnsi="Times New Roman" w:cs="Times New Roman"/>
          <w:sz w:val="24"/>
          <w:szCs w:val="24"/>
        </w:rPr>
        <w:t>7.5</w:t>
      </w:r>
      <w:r w:rsidRPr="00BD5BB8">
        <w:rPr>
          <w:rFonts w:ascii="Times New Roman" w:hAnsi="Times New Roman" w:cs="Times New Roman"/>
          <w:sz w:val="24"/>
          <w:szCs w:val="24"/>
        </w:rPr>
        <w:t xml:space="preserve"> ‰), </w:t>
      </w:r>
      <w:r w:rsidR="00A93B70" w:rsidRPr="00BD5BB8">
        <w:rPr>
          <w:rFonts w:ascii="Times New Roman" w:hAnsi="Times New Roman" w:cs="Times New Roman"/>
          <w:sz w:val="24"/>
          <w:szCs w:val="24"/>
        </w:rPr>
        <w:t xml:space="preserve">следвана от България и </w:t>
      </w:r>
      <w:r w:rsidRPr="00BD5BB8">
        <w:rPr>
          <w:rFonts w:ascii="Times New Roman" w:hAnsi="Times New Roman" w:cs="Times New Roman"/>
          <w:sz w:val="24"/>
          <w:szCs w:val="24"/>
        </w:rPr>
        <w:t>Хърватия (-</w:t>
      </w:r>
      <w:r w:rsidR="00A93B70" w:rsidRPr="00BD5BB8">
        <w:rPr>
          <w:rFonts w:ascii="Times New Roman" w:hAnsi="Times New Roman" w:cs="Times New Roman"/>
          <w:sz w:val="24"/>
          <w:szCs w:val="24"/>
        </w:rPr>
        <w:t>7.1</w:t>
      </w:r>
      <w:r w:rsidRPr="00BD5BB8">
        <w:rPr>
          <w:rFonts w:ascii="Times New Roman" w:hAnsi="Times New Roman" w:cs="Times New Roman"/>
          <w:sz w:val="24"/>
          <w:szCs w:val="24"/>
        </w:rPr>
        <w:t xml:space="preserve">‰), </w:t>
      </w:r>
      <w:r w:rsidR="00A93B70" w:rsidRPr="00BD5BB8">
        <w:rPr>
          <w:rFonts w:ascii="Times New Roman" w:hAnsi="Times New Roman" w:cs="Times New Roman"/>
          <w:sz w:val="24"/>
          <w:szCs w:val="24"/>
        </w:rPr>
        <w:t>и Румъния (-6.6</w:t>
      </w:r>
      <w:r w:rsidRPr="00BD5BB8">
        <w:rPr>
          <w:rFonts w:ascii="Times New Roman" w:hAnsi="Times New Roman" w:cs="Times New Roman"/>
          <w:sz w:val="24"/>
          <w:szCs w:val="24"/>
        </w:rPr>
        <w:t xml:space="preserve"> ‰)</w:t>
      </w:r>
      <w:r w:rsidR="00A93B70" w:rsidRPr="00BD5BB8">
        <w:rPr>
          <w:rFonts w:ascii="Times New Roman" w:hAnsi="Times New Roman" w:cs="Times New Roman"/>
          <w:sz w:val="24"/>
          <w:szCs w:val="24"/>
        </w:rPr>
        <w:t>.и Литва (-5.3‰)</w:t>
      </w:r>
      <w:r w:rsidRPr="00BD5BB8">
        <w:rPr>
          <w:rFonts w:ascii="Times New Roman" w:hAnsi="Times New Roman" w:cs="Times New Roman"/>
          <w:sz w:val="24"/>
          <w:szCs w:val="24"/>
        </w:rPr>
        <w:t>. Като цяло, през 201</w:t>
      </w:r>
      <w:r w:rsidR="00A93B70"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населението на ЕС се е увеличило с 1</w:t>
      </w:r>
      <w:r w:rsidR="00A93B70" w:rsidRPr="00BD5BB8">
        <w:rPr>
          <w:rFonts w:ascii="Times New Roman" w:hAnsi="Times New Roman" w:cs="Times New Roman"/>
          <w:sz w:val="24"/>
          <w:szCs w:val="24"/>
        </w:rPr>
        <w:t>.1</w:t>
      </w:r>
      <w:r w:rsidRPr="00BD5BB8">
        <w:rPr>
          <w:rFonts w:ascii="Times New Roman" w:hAnsi="Times New Roman" w:cs="Times New Roman"/>
          <w:sz w:val="24"/>
          <w:szCs w:val="24"/>
        </w:rPr>
        <w:t xml:space="preserve"> милиона души (+ </w:t>
      </w:r>
      <w:r w:rsidR="00A93B70" w:rsidRPr="00BD5BB8">
        <w:rPr>
          <w:rFonts w:ascii="Times New Roman" w:hAnsi="Times New Roman" w:cs="Times New Roman"/>
          <w:sz w:val="24"/>
          <w:szCs w:val="24"/>
        </w:rPr>
        <w:t>2.1</w:t>
      </w:r>
      <w:r w:rsidRPr="00BD5BB8">
        <w:rPr>
          <w:rFonts w:ascii="Times New Roman" w:hAnsi="Times New Roman" w:cs="Times New Roman"/>
          <w:sz w:val="24"/>
          <w:szCs w:val="24"/>
        </w:rPr>
        <w:t>‰).</w:t>
      </w:r>
    </w:p>
    <w:p w:rsidR="00A93B70" w:rsidRPr="00BD5BB8" w:rsidRDefault="00A93B70" w:rsidP="005F2097">
      <w:pPr>
        <w:spacing w:after="0" w:line="240" w:lineRule="auto"/>
        <w:jc w:val="center"/>
        <w:rPr>
          <w:rFonts w:ascii="Times New Roman" w:hAnsi="Times New Roman" w:cs="Times New Roman"/>
          <w:b/>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Най-висока е раждаемостта в Ирландия, а най-ниска в Италия</w:t>
      </w:r>
    </w:p>
    <w:p w:rsidR="005F2097" w:rsidRPr="00BD5BB8" w:rsidRDefault="005F2097" w:rsidP="005F2097">
      <w:pPr>
        <w:spacing w:after="0" w:line="240" w:lineRule="auto"/>
        <w:ind w:firstLine="709"/>
        <w:jc w:val="both"/>
        <w:rPr>
          <w:rFonts w:ascii="Times New Roman" w:hAnsi="Times New Roman" w:cs="Times New Roman"/>
          <w:sz w:val="24"/>
          <w:szCs w:val="24"/>
        </w:rPr>
      </w:pPr>
    </w:p>
    <w:p w:rsidR="00A93B70" w:rsidRPr="00BD5BB8" w:rsidRDefault="005F2097" w:rsidP="00A93B70">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През 201</w:t>
      </w:r>
      <w:r w:rsidR="00A93B70"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в ЕС са родени 5</w:t>
      </w:r>
      <w:r w:rsidR="00A93B70" w:rsidRPr="00BD5BB8">
        <w:rPr>
          <w:rFonts w:ascii="Times New Roman" w:hAnsi="Times New Roman" w:cs="Times New Roman"/>
          <w:sz w:val="24"/>
          <w:szCs w:val="24"/>
        </w:rPr>
        <w:t xml:space="preserve">.0 </w:t>
      </w:r>
      <w:r w:rsidRPr="00BD5BB8">
        <w:rPr>
          <w:rFonts w:ascii="Times New Roman" w:hAnsi="Times New Roman" w:cs="Times New Roman"/>
          <w:sz w:val="24"/>
          <w:szCs w:val="24"/>
        </w:rPr>
        <w:t xml:space="preserve">милиона бебета, </w:t>
      </w:r>
      <w:r w:rsidR="00A93B70" w:rsidRPr="00BD5BB8">
        <w:rPr>
          <w:rFonts w:ascii="Times New Roman" w:hAnsi="Times New Roman" w:cs="Times New Roman"/>
          <w:sz w:val="24"/>
          <w:szCs w:val="24"/>
        </w:rPr>
        <w:t>почти 118 000 по-малко в сравнение с предходната година.</w:t>
      </w:r>
    </w:p>
    <w:p w:rsidR="005F2097" w:rsidRPr="00BD5BB8" w:rsidRDefault="005F2097" w:rsidP="005F2097">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В държавите-членки най-високите нива на раждаемост през 201</w:t>
      </w:r>
      <w:r w:rsidR="00A93B70"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са регистрирани в Ирландия (1</w:t>
      </w:r>
      <w:r w:rsidR="00A93B70" w:rsidRPr="00BD5BB8">
        <w:rPr>
          <w:rFonts w:ascii="Times New Roman" w:hAnsi="Times New Roman" w:cs="Times New Roman"/>
          <w:sz w:val="24"/>
          <w:szCs w:val="24"/>
        </w:rPr>
        <w:t>2.5 на 1 000 жители), Швеция (11.4‰), Франция (11.3</w:t>
      </w:r>
      <w:r w:rsidRPr="00BD5BB8">
        <w:rPr>
          <w:rFonts w:ascii="Times New Roman" w:hAnsi="Times New Roman" w:cs="Times New Roman"/>
          <w:sz w:val="24"/>
          <w:szCs w:val="24"/>
        </w:rPr>
        <w:t xml:space="preserve"> ‰)</w:t>
      </w:r>
      <w:r w:rsidR="00A93B70" w:rsidRPr="00BD5BB8">
        <w:rPr>
          <w:rFonts w:ascii="Times New Roman" w:hAnsi="Times New Roman" w:cs="Times New Roman"/>
          <w:sz w:val="24"/>
          <w:szCs w:val="24"/>
        </w:rPr>
        <w:t xml:space="preserve"> и Обединеното кралство (11.0‰)</w:t>
      </w:r>
      <w:r w:rsidRPr="00BD5BB8">
        <w:rPr>
          <w:rFonts w:ascii="Times New Roman" w:hAnsi="Times New Roman" w:cs="Times New Roman"/>
          <w:sz w:val="24"/>
          <w:szCs w:val="24"/>
        </w:rPr>
        <w:t>, докато най-ниските са регистрирани в държави</w:t>
      </w:r>
      <w:r w:rsidR="001177B8" w:rsidRPr="00BD5BB8">
        <w:rPr>
          <w:rFonts w:ascii="Times New Roman" w:hAnsi="Times New Roman" w:cs="Times New Roman"/>
          <w:sz w:val="24"/>
          <w:szCs w:val="24"/>
        </w:rPr>
        <w:t>те</w:t>
      </w:r>
      <w:r w:rsidRPr="00BD5BB8">
        <w:rPr>
          <w:rFonts w:ascii="Times New Roman" w:hAnsi="Times New Roman" w:cs="Times New Roman"/>
          <w:sz w:val="24"/>
          <w:szCs w:val="24"/>
        </w:rPr>
        <w:t>-членки: Италия (7</w:t>
      </w:r>
      <w:r w:rsidR="00A93B70" w:rsidRPr="00BD5BB8">
        <w:rPr>
          <w:rFonts w:ascii="Times New Roman" w:hAnsi="Times New Roman" w:cs="Times New Roman"/>
          <w:sz w:val="24"/>
          <w:szCs w:val="24"/>
        </w:rPr>
        <w:t>.3</w:t>
      </w:r>
      <w:r w:rsidRPr="00BD5BB8">
        <w:rPr>
          <w:rFonts w:ascii="Times New Roman" w:hAnsi="Times New Roman" w:cs="Times New Roman"/>
          <w:sz w:val="24"/>
          <w:szCs w:val="24"/>
        </w:rPr>
        <w:t xml:space="preserve">‰), </w:t>
      </w:r>
      <w:r w:rsidR="00E8551F" w:rsidRPr="00BD5BB8">
        <w:rPr>
          <w:rFonts w:ascii="Times New Roman" w:hAnsi="Times New Roman" w:cs="Times New Roman"/>
          <w:sz w:val="24"/>
          <w:szCs w:val="24"/>
        </w:rPr>
        <w:t xml:space="preserve">Испания (7.9‰), </w:t>
      </w:r>
      <w:r w:rsidRPr="00BD5BB8">
        <w:rPr>
          <w:rFonts w:ascii="Times New Roman" w:hAnsi="Times New Roman" w:cs="Times New Roman"/>
          <w:sz w:val="24"/>
          <w:szCs w:val="24"/>
        </w:rPr>
        <w:t>Гърция (8</w:t>
      </w:r>
      <w:r w:rsidR="00E8551F" w:rsidRPr="00BD5BB8">
        <w:rPr>
          <w:rFonts w:ascii="Times New Roman" w:hAnsi="Times New Roman" w:cs="Times New Roman"/>
          <w:sz w:val="24"/>
          <w:szCs w:val="24"/>
        </w:rPr>
        <w:t>.1</w:t>
      </w:r>
      <w:r w:rsidRPr="00BD5BB8">
        <w:rPr>
          <w:rFonts w:ascii="Times New Roman" w:hAnsi="Times New Roman" w:cs="Times New Roman"/>
          <w:sz w:val="24"/>
          <w:szCs w:val="24"/>
        </w:rPr>
        <w:t xml:space="preserve">‰), </w:t>
      </w:r>
      <w:r w:rsidR="00E8551F" w:rsidRPr="00BD5BB8">
        <w:rPr>
          <w:rFonts w:ascii="Times New Roman" w:hAnsi="Times New Roman" w:cs="Times New Roman"/>
          <w:sz w:val="24"/>
          <w:szCs w:val="24"/>
        </w:rPr>
        <w:t>Португалия (8.5‰), Финландия (8.6‰),</w:t>
      </w:r>
      <w:r w:rsidRPr="00BD5BB8">
        <w:rPr>
          <w:rFonts w:ascii="Times New Roman" w:hAnsi="Times New Roman" w:cs="Times New Roman"/>
          <w:sz w:val="24"/>
          <w:szCs w:val="24"/>
        </w:rPr>
        <w:t xml:space="preserve"> България (</w:t>
      </w:r>
      <w:r w:rsidR="00E8551F" w:rsidRPr="00BD5BB8">
        <w:rPr>
          <w:rFonts w:ascii="Times New Roman" w:hAnsi="Times New Roman" w:cs="Times New Roman"/>
          <w:sz w:val="24"/>
          <w:szCs w:val="24"/>
        </w:rPr>
        <w:t>8.9</w:t>
      </w:r>
      <w:r w:rsidRPr="00BD5BB8">
        <w:rPr>
          <w:rFonts w:ascii="Times New Roman" w:hAnsi="Times New Roman" w:cs="Times New Roman"/>
          <w:sz w:val="24"/>
          <w:szCs w:val="24"/>
        </w:rPr>
        <w:t>‰)</w:t>
      </w:r>
      <w:r w:rsidR="00E8551F" w:rsidRPr="00BD5BB8">
        <w:rPr>
          <w:rFonts w:ascii="Times New Roman" w:hAnsi="Times New Roman" w:cs="Times New Roman"/>
          <w:sz w:val="24"/>
          <w:szCs w:val="24"/>
        </w:rPr>
        <w:t xml:space="preserve"> и Хърватия (9.0‰)</w:t>
      </w:r>
      <w:r w:rsidRPr="00BD5BB8">
        <w:rPr>
          <w:rFonts w:ascii="Times New Roman" w:hAnsi="Times New Roman" w:cs="Times New Roman"/>
          <w:sz w:val="24"/>
          <w:szCs w:val="24"/>
        </w:rPr>
        <w:t xml:space="preserve">. На равнище ЕС коефициентът на раждаемост е бил </w:t>
      </w:r>
      <w:r w:rsidR="00E8551F" w:rsidRPr="00BD5BB8">
        <w:rPr>
          <w:rFonts w:ascii="Times New Roman" w:hAnsi="Times New Roman" w:cs="Times New Roman"/>
          <w:sz w:val="24"/>
          <w:szCs w:val="24"/>
        </w:rPr>
        <w:t>9.7</w:t>
      </w:r>
      <w:r w:rsidRPr="00BD5BB8">
        <w:rPr>
          <w:rFonts w:ascii="Times New Roman" w:hAnsi="Times New Roman" w:cs="Times New Roman"/>
          <w:sz w:val="24"/>
          <w:szCs w:val="24"/>
        </w:rPr>
        <w:t xml:space="preserve"> на 1 000 жители. </w:t>
      </w:r>
    </w:p>
    <w:p w:rsidR="005F2097" w:rsidRPr="00BD5BB8" w:rsidRDefault="005F2097" w:rsidP="005F2097">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Междувременно в ЕС са регистрирани 5</w:t>
      </w:r>
      <w:r w:rsidR="00E8551F" w:rsidRPr="00BD5BB8">
        <w:rPr>
          <w:rFonts w:ascii="Times New Roman" w:hAnsi="Times New Roman" w:cs="Times New Roman"/>
          <w:sz w:val="24"/>
          <w:szCs w:val="24"/>
        </w:rPr>
        <w:t>.3</w:t>
      </w:r>
      <w:r w:rsidRPr="00BD5BB8">
        <w:rPr>
          <w:rFonts w:ascii="Times New Roman" w:hAnsi="Times New Roman" w:cs="Times New Roman"/>
          <w:sz w:val="24"/>
          <w:szCs w:val="24"/>
        </w:rPr>
        <w:t xml:space="preserve"> милиона смъртни случаи през 201</w:t>
      </w:r>
      <w:r w:rsidR="00E8551F"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почти </w:t>
      </w:r>
      <w:r w:rsidR="00E8551F" w:rsidRPr="00BD5BB8">
        <w:rPr>
          <w:rFonts w:ascii="Times New Roman" w:hAnsi="Times New Roman" w:cs="Times New Roman"/>
          <w:sz w:val="24"/>
          <w:szCs w:val="24"/>
        </w:rPr>
        <w:t>46</w:t>
      </w:r>
      <w:r w:rsidRPr="00BD5BB8">
        <w:rPr>
          <w:rFonts w:ascii="Times New Roman" w:hAnsi="Times New Roman" w:cs="Times New Roman"/>
          <w:sz w:val="24"/>
          <w:szCs w:val="24"/>
        </w:rPr>
        <w:t xml:space="preserve"> 000 по</w:t>
      </w:r>
      <w:r w:rsidR="00E8551F" w:rsidRPr="00BD5BB8">
        <w:rPr>
          <w:rFonts w:ascii="Times New Roman" w:hAnsi="Times New Roman" w:cs="Times New Roman"/>
          <w:sz w:val="24"/>
          <w:szCs w:val="24"/>
        </w:rPr>
        <w:t>вече</w:t>
      </w:r>
      <w:r w:rsidRPr="00BD5BB8">
        <w:rPr>
          <w:rFonts w:ascii="Times New Roman" w:hAnsi="Times New Roman" w:cs="Times New Roman"/>
          <w:sz w:val="24"/>
          <w:szCs w:val="24"/>
        </w:rPr>
        <w:t xml:space="preserve"> от предходната година. Ирландия</w:t>
      </w:r>
      <w:r w:rsidR="00E8551F" w:rsidRPr="00BD5BB8">
        <w:rPr>
          <w:rFonts w:ascii="Times New Roman" w:hAnsi="Times New Roman" w:cs="Times New Roman"/>
          <w:sz w:val="24"/>
          <w:szCs w:val="24"/>
        </w:rPr>
        <w:t xml:space="preserve"> (6.4 на 1 000 жители),</w:t>
      </w:r>
      <w:r w:rsidRPr="00BD5BB8">
        <w:rPr>
          <w:rFonts w:ascii="Times New Roman" w:hAnsi="Times New Roman" w:cs="Times New Roman"/>
          <w:sz w:val="24"/>
          <w:szCs w:val="24"/>
        </w:rPr>
        <w:t xml:space="preserve"> Кипър (</w:t>
      </w:r>
      <w:r w:rsidR="00E8551F" w:rsidRPr="00BD5BB8">
        <w:rPr>
          <w:rFonts w:ascii="Times New Roman" w:hAnsi="Times New Roman" w:cs="Times New Roman"/>
          <w:sz w:val="24"/>
          <w:szCs w:val="24"/>
        </w:rPr>
        <w:t>6.6</w:t>
      </w:r>
      <w:r w:rsidRPr="00BD5BB8">
        <w:rPr>
          <w:rFonts w:ascii="Times New Roman" w:hAnsi="Times New Roman" w:cs="Times New Roman"/>
          <w:sz w:val="24"/>
          <w:szCs w:val="24"/>
        </w:rPr>
        <w:t xml:space="preserve"> </w:t>
      </w:r>
      <w:r w:rsidR="00E8551F" w:rsidRPr="00BD5BB8">
        <w:rPr>
          <w:rFonts w:ascii="Times New Roman" w:hAnsi="Times New Roman" w:cs="Times New Roman"/>
          <w:sz w:val="24"/>
          <w:szCs w:val="24"/>
        </w:rPr>
        <w:t>на 1000 жители)</w:t>
      </w:r>
      <w:r w:rsidRPr="00BD5BB8">
        <w:rPr>
          <w:rFonts w:ascii="Times New Roman" w:hAnsi="Times New Roman" w:cs="Times New Roman"/>
          <w:sz w:val="24"/>
          <w:szCs w:val="24"/>
        </w:rPr>
        <w:t xml:space="preserve"> и Люксембург (</w:t>
      </w:r>
      <w:r w:rsidR="00E8551F" w:rsidRPr="00BD5BB8">
        <w:rPr>
          <w:rFonts w:ascii="Times New Roman" w:hAnsi="Times New Roman" w:cs="Times New Roman"/>
          <w:sz w:val="24"/>
          <w:szCs w:val="24"/>
        </w:rPr>
        <w:t>7.1</w:t>
      </w:r>
      <w:r w:rsidRPr="00BD5BB8">
        <w:rPr>
          <w:rFonts w:ascii="Times New Roman" w:hAnsi="Times New Roman" w:cs="Times New Roman"/>
          <w:sz w:val="24"/>
          <w:szCs w:val="24"/>
        </w:rPr>
        <w:t>‰) имат най-ниска смъртност през 201</w:t>
      </w:r>
      <w:r w:rsidR="00E8551F"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следвани от Малта (7</w:t>
      </w:r>
      <w:r w:rsidR="00E8551F" w:rsidRPr="00BD5BB8">
        <w:rPr>
          <w:rFonts w:ascii="Times New Roman" w:hAnsi="Times New Roman" w:cs="Times New Roman"/>
          <w:sz w:val="24"/>
          <w:szCs w:val="24"/>
        </w:rPr>
        <w:t>.</w:t>
      </w:r>
      <w:r w:rsidRPr="00BD5BB8">
        <w:rPr>
          <w:rFonts w:ascii="Times New Roman" w:hAnsi="Times New Roman" w:cs="Times New Roman"/>
          <w:sz w:val="24"/>
          <w:szCs w:val="24"/>
        </w:rPr>
        <w:t>6 ‰), Холандия (8</w:t>
      </w:r>
      <w:r w:rsidR="00E8551F" w:rsidRPr="00BD5BB8">
        <w:rPr>
          <w:rFonts w:ascii="Times New Roman" w:hAnsi="Times New Roman" w:cs="Times New Roman"/>
          <w:sz w:val="24"/>
          <w:szCs w:val="24"/>
        </w:rPr>
        <w:t>.9</w:t>
      </w:r>
      <w:r w:rsidRPr="00BD5BB8">
        <w:rPr>
          <w:rFonts w:ascii="Times New Roman" w:hAnsi="Times New Roman" w:cs="Times New Roman"/>
          <w:sz w:val="24"/>
          <w:szCs w:val="24"/>
        </w:rPr>
        <w:t xml:space="preserve"> ‰), Испания и </w:t>
      </w:r>
      <w:r w:rsidR="00E8551F" w:rsidRPr="00BD5BB8">
        <w:rPr>
          <w:rFonts w:ascii="Times New Roman" w:hAnsi="Times New Roman" w:cs="Times New Roman"/>
          <w:sz w:val="24"/>
          <w:szCs w:val="24"/>
        </w:rPr>
        <w:t>Швеция (и двете с 9.1‰)</w:t>
      </w:r>
      <w:r w:rsidRPr="00BD5BB8">
        <w:rPr>
          <w:rFonts w:ascii="Times New Roman" w:hAnsi="Times New Roman" w:cs="Times New Roman"/>
          <w:sz w:val="24"/>
          <w:szCs w:val="24"/>
        </w:rPr>
        <w:t>. В другия край на скалата, България (15</w:t>
      </w:r>
      <w:r w:rsidR="00E8551F" w:rsidRPr="00BD5BB8">
        <w:rPr>
          <w:rFonts w:ascii="Times New Roman" w:hAnsi="Times New Roman" w:cs="Times New Roman"/>
          <w:sz w:val="24"/>
          <w:szCs w:val="24"/>
        </w:rPr>
        <w:t>.4</w:t>
      </w:r>
      <w:r w:rsidRPr="00BD5BB8">
        <w:rPr>
          <w:rFonts w:ascii="Times New Roman" w:hAnsi="Times New Roman" w:cs="Times New Roman"/>
          <w:sz w:val="24"/>
          <w:szCs w:val="24"/>
        </w:rPr>
        <w:t>‰), Латвия (1</w:t>
      </w:r>
      <w:r w:rsidR="00E8551F" w:rsidRPr="00BD5BB8">
        <w:rPr>
          <w:rFonts w:ascii="Times New Roman" w:hAnsi="Times New Roman" w:cs="Times New Roman"/>
          <w:sz w:val="24"/>
          <w:szCs w:val="24"/>
        </w:rPr>
        <w:t>5</w:t>
      </w:r>
      <w:r w:rsidRPr="00BD5BB8">
        <w:rPr>
          <w:rFonts w:ascii="Times New Roman" w:hAnsi="Times New Roman" w:cs="Times New Roman"/>
          <w:sz w:val="24"/>
          <w:szCs w:val="24"/>
        </w:rPr>
        <w:t>‰), Литва (14</w:t>
      </w:r>
      <w:r w:rsidR="00E8551F" w:rsidRPr="00BD5BB8">
        <w:rPr>
          <w:rFonts w:ascii="Times New Roman" w:hAnsi="Times New Roman" w:cs="Times New Roman"/>
          <w:sz w:val="24"/>
          <w:szCs w:val="24"/>
        </w:rPr>
        <w:t>.1</w:t>
      </w:r>
      <w:r w:rsidRPr="00BD5BB8">
        <w:rPr>
          <w:rFonts w:ascii="Times New Roman" w:hAnsi="Times New Roman" w:cs="Times New Roman"/>
          <w:sz w:val="24"/>
          <w:szCs w:val="24"/>
        </w:rPr>
        <w:t xml:space="preserve">‰), Румъния </w:t>
      </w:r>
      <w:r w:rsidR="00E8551F" w:rsidRPr="00BD5BB8">
        <w:rPr>
          <w:rFonts w:ascii="Times New Roman" w:hAnsi="Times New Roman" w:cs="Times New Roman"/>
          <w:sz w:val="24"/>
          <w:szCs w:val="24"/>
        </w:rPr>
        <w:t xml:space="preserve">(13.5‰) и </w:t>
      </w:r>
      <w:r w:rsidRPr="00BD5BB8">
        <w:rPr>
          <w:rFonts w:ascii="Times New Roman" w:hAnsi="Times New Roman" w:cs="Times New Roman"/>
          <w:sz w:val="24"/>
          <w:szCs w:val="24"/>
        </w:rPr>
        <w:t>Унгария (13</w:t>
      </w:r>
      <w:r w:rsidR="00E8551F" w:rsidRPr="00BD5BB8">
        <w:rPr>
          <w:rFonts w:ascii="Times New Roman" w:hAnsi="Times New Roman" w:cs="Times New Roman"/>
          <w:sz w:val="24"/>
          <w:szCs w:val="24"/>
        </w:rPr>
        <w:t>.4</w:t>
      </w:r>
      <w:r w:rsidRPr="00BD5BB8">
        <w:rPr>
          <w:rFonts w:ascii="Times New Roman" w:hAnsi="Times New Roman" w:cs="Times New Roman"/>
          <w:sz w:val="24"/>
          <w:szCs w:val="24"/>
        </w:rPr>
        <w:t xml:space="preserve"> ‰) са с най-високи коефициенти на смъртност. На равнище ЕС смъртността е 10</w:t>
      </w:r>
      <w:r w:rsidR="00E8551F" w:rsidRPr="00BD5BB8">
        <w:rPr>
          <w:rFonts w:ascii="Times New Roman" w:hAnsi="Times New Roman" w:cs="Times New Roman"/>
          <w:sz w:val="24"/>
          <w:szCs w:val="24"/>
        </w:rPr>
        <w:t>.4</w:t>
      </w:r>
      <w:r w:rsidRPr="00BD5BB8">
        <w:rPr>
          <w:rFonts w:ascii="Times New Roman" w:hAnsi="Times New Roman" w:cs="Times New Roman"/>
          <w:sz w:val="24"/>
          <w:szCs w:val="24"/>
        </w:rPr>
        <w:t xml:space="preserve"> на 1 000 жители.</w:t>
      </w:r>
    </w:p>
    <w:p w:rsidR="005F2097" w:rsidRPr="00BD5BB8" w:rsidRDefault="005F2097" w:rsidP="005F2097">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В резултат на това Ирландия (с естествен прираст на населението си +</w:t>
      </w:r>
      <w:r w:rsidR="00E8551F" w:rsidRPr="00BD5BB8">
        <w:rPr>
          <w:rFonts w:ascii="Times New Roman" w:hAnsi="Times New Roman" w:cs="Times New Roman"/>
          <w:sz w:val="24"/>
          <w:szCs w:val="24"/>
        </w:rPr>
        <w:t>6.1</w:t>
      </w:r>
      <w:r w:rsidRPr="00BD5BB8">
        <w:rPr>
          <w:rFonts w:ascii="Times New Roman" w:hAnsi="Times New Roman" w:cs="Times New Roman"/>
          <w:sz w:val="24"/>
          <w:szCs w:val="24"/>
        </w:rPr>
        <w:t>‰) остава през 201</w:t>
      </w:r>
      <w:r w:rsidR="00E8551F"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държавата-членка, в която </w:t>
      </w:r>
      <w:r w:rsidRPr="00BD5BB8">
        <w:rPr>
          <w:rFonts w:ascii="Times New Roman" w:hAnsi="Times New Roman" w:cs="Times New Roman"/>
          <w:sz w:val="24"/>
          <w:szCs w:val="24"/>
          <w:shd w:val="clear" w:color="auto" w:fill="FFFFFF" w:themeFill="background1"/>
        </w:rPr>
        <w:t>родените са най-много в сравнение с починалите,</w:t>
      </w:r>
      <w:r w:rsidRPr="00BD5BB8">
        <w:rPr>
          <w:rFonts w:ascii="Times New Roman" w:hAnsi="Times New Roman" w:cs="Times New Roman"/>
          <w:sz w:val="24"/>
          <w:szCs w:val="24"/>
        </w:rPr>
        <w:t xml:space="preserve"> пред Кипър (+4</w:t>
      </w:r>
      <w:r w:rsidR="00E8551F" w:rsidRPr="00BD5BB8">
        <w:rPr>
          <w:rFonts w:ascii="Times New Roman" w:hAnsi="Times New Roman" w:cs="Times New Roman"/>
          <w:sz w:val="24"/>
          <w:szCs w:val="24"/>
        </w:rPr>
        <w:t>.1‰), Люксембург (+3,</w:t>
      </w:r>
      <w:r w:rsidR="00FB4291" w:rsidRPr="00BD5BB8">
        <w:rPr>
          <w:rFonts w:ascii="Times New Roman" w:hAnsi="Times New Roman" w:cs="Times New Roman"/>
          <w:sz w:val="24"/>
          <w:szCs w:val="24"/>
        </w:rPr>
        <w:t>2</w:t>
      </w:r>
      <w:r w:rsidRPr="00BD5BB8">
        <w:rPr>
          <w:rFonts w:ascii="Times New Roman" w:hAnsi="Times New Roman" w:cs="Times New Roman"/>
          <w:sz w:val="24"/>
          <w:szCs w:val="24"/>
        </w:rPr>
        <w:t>‰), Швеция</w:t>
      </w:r>
      <w:r w:rsidR="00FB4291" w:rsidRPr="00BD5BB8">
        <w:rPr>
          <w:rFonts w:ascii="Times New Roman" w:hAnsi="Times New Roman" w:cs="Times New Roman"/>
          <w:sz w:val="24"/>
          <w:szCs w:val="24"/>
        </w:rPr>
        <w:t xml:space="preserve"> (+2.3‰), Франция </w:t>
      </w:r>
      <w:r w:rsidR="00FB4291" w:rsidRPr="00BD5BB8">
        <w:rPr>
          <w:rFonts w:ascii="Arial" w:hAnsi="Arial" w:cs="Arial"/>
          <w:sz w:val="20"/>
          <w:szCs w:val="20"/>
        </w:rPr>
        <w:t>(+2.2</w:t>
      </w:r>
      <w:r w:rsidR="00FB4291" w:rsidRPr="00BD5BB8">
        <w:rPr>
          <w:rFonts w:ascii="ArialMT" w:hAnsi="ArialMT" w:cs="ArialMT"/>
          <w:sz w:val="20"/>
          <w:szCs w:val="20"/>
        </w:rPr>
        <w:t>‰)</w:t>
      </w:r>
      <w:r w:rsidR="00FB4291" w:rsidRPr="00BD5BB8">
        <w:rPr>
          <w:rFonts w:ascii="Arial" w:hAnsi="Arial" w:cs="Arial"/>
          <w:sz w:val="20"/>
          <w:szCs w:val="20"/>
        </w:rPr>
        <w:t>,</w:t>
      </w:r>
      <w:r w:rsidR="00FB4291" w:rsidRPr="00BD5BB8">
        <w:rPr>
          <w:rFonts w:ascii="Times New Roman" w:hAnsi="Times New Roman" w:cs="Times New Roman"/>
          <w:sz w:val="24"/>
          <w:szCs w:val="24"/>
        </w:rPr>
        <w:t xml:space="preserve"> Обединеното кралство (+1.7‰) и Малта (+1.</w:t>
      </w:r>
      <w:r w:rsidRPr="00BD5BB8">
        <w:rPr>
          <w:rFonts w:ascii="Times New Roman" w:hAnsi="Times New Roman" w:cs="Times New Roman"/>
          <w:sz w:val="24"/>
          <w:szCs w:val="24"/>
        </w:rPr>
        <w:t xml:space="preserve">6‰). От друга страна, сред </w:t>
      </w:r>
      <w:r w:rsidR="00FB4291" w:rsidRPr="00BD5BB8">
        <w:rPr>
          <w:rFonts w:ascii="Times New Roman" w:hAnsi="Times New Roman" w:cs="Times New Roman"/>
          <w:sz w:val="24"/>
          <w:szCs w:val="24"/>
        </w:rPr>
        <w:t>пет</w:t>
      </w:r>
      <w:r w:rsidRPr="00BD5BB8">
        <w:rPr>
          <w:rFonts w:ascii="Times New Roman" w:hAnsi="Times New Roman" w:cs="Times New Roman"/>
          <w:sz w:val="24"/>
          <w:szCs w:val="24"/>
        </w:rPr>
        <w:t>надесетте държави-членки на ЕС, регистрирали отрицателен естествен прираст през 201</w:t>
      </w:r>
      <w:r w:rsidR="00FB4291"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най-много са смъртните случ</w:t>
      </w:r>
      <w:r w:rsidR="00FB4291" w:rsidRPr="00BD5BB8">
        <w:rPr>
          <w:rFonts w:ascii="Times New Roman" w:hAnsi="Times New Roman" w:cs="Times New Roman"/>
          <w:sz w:val="24"/>
          <w:szCs w:val="24"/>
        </w:rPr>
        <w:t>аи в България (-6.6</w:t>
      </w:r>
      <w:r w:rsidRPr="00BD5BB8">
        <w:rPr>
          <w:rFonts w:ascii="Times New Roman" w:hAnsi="Times New Roman" w:cs="Times New Roman"/>
          <w:sz w:val="24"/>
          <w:szCs w:val="24"/>
        </w:rPr>
        <w:t>‰), следван</w:t>
      </w:r>
      <w:r w:rsidR="00FB4291" w:rsidRPr="00BD5BB8">
        <w:rPr>
          <w:rFonts w:ascii="Times New Roman" w:hAnsi="Times New Roman" w:cs="Times New Roman"/>
          <w:sz w:val="24"/>
          <w:szCs w:val="24"/>
        </w:rPr>
        <w:t>а</w:t>
      </w:r>
      <w:r w:rsidRPr="00BD5BB8">
        <w:rPr>
          <w:rFonts w:ascii="Times New Roman" w:hAnsi="Times New Roman" w:cs="Times New Roman"/>
          <w:sz w:val="24"/>
          <w:szCs w:val="24"/>
        </w:rPr>
        <w:t xml:space="preserve"> от </w:t>
      </w:r>
      <w:r w:rsidR="00FB4291" w:rsidRPr="00BD5BB8">
        <w:rPr>
          <w:rFonts w:ascii="Times New Roman" w:hAnsi="Times New Roman" w:cs="Times New Roman"/>
          <w:sz w:val="24"/>
          <w:szCs w:val="24"/>
        </w:rPr>
        <w:t xml:space="preserve">Латвия (-4.9‰), </w:t>
      </w:r>
      <w:r w:rsidRPr="00BD5BB8">
        <w:rPr>
          <w:rFonts w:ascii="Times New Roman" w:hAnsi="Times New Roman" w:cs="Times New Roman"/>
          <w:sz w:val="24"/>
          <w:szCs w:val="24"/>
        </w:rPr>
        <w:t>Литва (-</w:t>
      </w:r>
      <w:r w:rsidR="00FB4291" w:rsidRPr="00BD5BB8">
        <w:rPr>
          <w:rFonts w:ascii="Times New Roman" w:hAnsi="Times New Roman" w:cs="Times New Roman"/>
          <w:sz w:val="24"/>
          <w:szCs w:val="24"/>
        </w:rPr>
        <w:t>4.1</w:t>
      </w:r>
      <w:r w:rsidRPr="00BD5BB8">
        <w:rPr>
          <w:rFonts w:ascii="Times New Roman" w:hAnsi="Times New Roman" w:cs="Times New Roman"/>
          <w:sz w:val="24"/>
          <w:szCs w:val="24"/>
        </w:rPr>
        <w:t xml:space="preserve">‰), </w:t>
      </w:r>
      <w:r w:rsidR="00FB4291" w:rsidRPr="00BD5BB8">
        <w:rPr>
          <w:rFonts w:ascii="Times New Roman" w:hAnsi="Times New Roman" w:cs="Times New Roman"/>
          <w:sz w:val="24"/>
          <w:szCs w:val="24"/>
        </w:rPr>
        <w:t xml:space="preserve">Хърватия, </w:t>
      </w:r>
      <w:r w:rsidRPr="00BD5BB8">
        <w:rPr>
          <w:rFonts w:ascii="Times New Roman" w:hAnsi="Times New Roman" w:cs="Times New Roman"/>
          <w:sz w:val="24"/>
          <w:szCs w:val="24"/>
        </w:rPr>
        <w:t>Унгария</w:t>
      </w:r>
      <w:r w:rsidR="00FB4291" w:rsidRPr="00BD5BB8">
        <w:rPr>
          <w:rFonts w:ascii="Times New Roman" w:hAnsi="Times New Roman" w:cs="Times New Roman"/>
          <w:sz w:val="24"/>
          <w:szCs w:val="24"/>
        </w:rPr>
        <w:t xml:space="preserve"> и Румъния ( всичките с -3.9‰)</w:t>
      </w:r>
      <w:r w:rsidRPr="00BD5BB8">
        <w:rPr>
          <w:rFonts w:ascii="Times New Roman" w:hAnsi="Times New Roman" w:cs="Times New Roman"/>
          <w:sz w:val="24"/>
          <w:szCs w:val="24"/>
        </w:rPr>
        <w:t xml:space="preserve">. </w:t>
      </w:r>
    </w:p>
    <w:p w:rsidR="005F2097" w:rsidRPr="00BD5BB8" w:rsidRDefault="005F2097" w:rsidP="005F2097">
      <w:pPr>
        <w:spacing w:after="0" w:line="240" w:lineRule="auto"/>
        <w:jc w:val="both"/>
        <w:rPr>
          <w:rFonts w:ascii="Times New Roman" w:hAnsi="Times New Roman" w:cs="Times New Roman"/>
          <w:color w:val="0000FF"/>
          <w:sz w:val="24"/>
          <w:szCs w:val="24"/>
        </w:rPr>
      </w:pPr>
    </w:p>
    <w:p w:rsidR="005F2097" w:rsidRPr="00BD5BB8" w:rsidRDefault="005F2097" w:rsidP="005F2097">
      <w:pPr>
        <w:spacing w:after="0" w:line="240" w:lineRule="auto"/>
        <w:jc w:val="center"/>
        <w:rPr>
          <w:rFonts w:ascii="Times New Roman" w:hAnsi="Times New Roman" w:cs="Times New Roman"/>
          <w:b/>
          <w:color w:val="333333"/>
          <w:sz w:val="24"/>
          <w:szCs w:val="24"/>
        </w:rPr>
      </w:pPr>
      <w:r w:rsidRPr="00BD5BB8">
        <w:rPr>
          <w:rFonts w:ascii="Times New Roman" w:hAnsi="Times New Roman" w:cs="Times New Roman"/>
          <w:b/>
          <w:color w:val="333333"/>
          <w:sz w:val="24"/>
          <w:szCs w:val="24"/>
        </w:rPr>
        <w:t>Европейският съюз търси изход от застаряването на населението</w:t>
      </w:r>
    </w:p>
    <w:p w:rsidR="005F2097" w:rsidRPr="00BD5BB8" w:rsidRDefault="005F2097" w:rsidP="005F2097">
      <w:pPr>
        <w:spacing w:after="0" w:line="240" w:lineRule="auto"/>
        <w:jc w:val="both"/>
        <w:rPr>
          <w:rFonts w:ascii="Times New Roman" w:hAnsi="Times New Roman" w:cs="Times New Roman"/>
          <w:color w:val="333333"/>
          <w:sz w:val="24"/>
          <w:szCs w:val="24"/>
        </w:rPr>
      </w:pPr>
    </w:p>
    <w:p w:rsidR="005F2097" w:rsidRPr="00BD5BB8" w:rsidRDefault="005F2097" w:rsidP="005F2097">
      <w:pPr>
        <w:spacing w:after="0" w:line="240" w:lineRule="auto"/>
        <w:ind w:firstLine="709"/>
        <w:jc w:val="both"/>
        <w:rPr>
          <w:rFonts w:ascii="Times New Roman" w:hAnsi="Times New Roman" w:cs="Times New Roman"/>
          <w:color w:val="333333"/>
          <w:sz w:val="24"/>
          <w:szCs w:val="24"/>
        </w:rPr>
      </w:pPr>
      <w:r w:rsidRPr="00BD5BB8">
        <w:rPr>
          <w:rFonts w:ascii="Times New Roman" w:hAnsi="Times New Roman" w:cs="Times New Roman"/>
          <w:color w:val="333333"/>
          <w:sz w:val="24"/>
          <w:szCs w:val="24"/>
        </w:rPr>
        <w:lastRenderedPageBreak/>
        <w:t xml:space="preserve">Посрещането на </w:t>
      </w:r>
      <w:r w:rsidRPr="00BD5BB8">
        <w:rPr>
          <w:rFonts w:ascii="Times New Roman" w:hAnsi="Times New Roman" w:cs="Times New Roman"/>
          <w:b/>
          <w:bCs/>
          <w:color w:val="333333"/>
          <w:sz w:val="24"/>
          <w:szCs w:val="24"/>
        </w:rPr>
        <w:t>демографските предизвикателства</w:t>
      </w:r>
      <w:r w:rsidRPr="00BD5BB8">
        <w:rPr>
          <w:rFonts w:ascii="Times New Roman" w:hAnsi="Times New Roman" w:cs="Times New Roman"/>
          <w:color w:val="333333"/>
          <w:sz w:val="24"/>
          <w:szCs w:val="24"/>
        </w:rPr>
        <w:t xml:space="preserve"> се нарежда сред трите основни политически приоритети на Европейския съюз. Наред с необходимостта от адекватен отговор на последиците от </w:t>
      </w:r>
      <w:r w:rsidRPr="00BD5BB8">
        <w:rPr>
          <w:rFonts w:ascii="Times New Roman" w:hAnsi="Times New Roman" w:cs="Times New Roman"/>
          <w:b/>
          <w:bCs/>
          <w:color w:val="333333"/>
          <w:sz w:val="24"/>
          <w:szCs w:val="24"/>
        </w:rPr>
        <w:t>глобализацията</w:t>
      </w:r>
      <w:r w:rsidRPr="00BD5BB8">
        <w:rPr>
          <w:rFonts w:ascii="Times New Roman" w:hAnsi="Times New Roman" w:cs="Times New Roman"/>
          <w:color w:val="333333"/>
          <w:sz w:val="24"/>
          <w:szCs w:val="24"/>
        </w:rPr>
        <w:t xml:space="preserve"> и напредването на </w:t>
      </w:r>
      <w:r w:rsidRPr="00BD5BB8">
        <w:rPr>
          <w:rFonts w:ascii="Times New Roman" w:hAnsi="Times New Roman" w:cs="Times New Roman"/>
          <w:b/>
          <w:bCs/>
          <w:color w:val="333333"/>
          <w:sz w:val="24"/>
          <w:szCs w:val="24"/>
        </w:rPr>
        <w:t>технологиите</w:t>
      </w:r>
      <w:r w:rsidRPr="00BD5BB8">
        <w:rPr>
          <w:rFonts w:ascii="Times New Roman" w:hAnsi="Times New Roman" w:cs="Times New Roman"/>
          <w:color w:val="333333"/>
          <w:sz w:val="24"/>
          <w:szCs w:val="24"/>
        </w:rPr>
        <w:t xml:space="preserve">, предприемането на </w:t>
      </w:r>
      <w:r w:rsidRPr="00BD5BB8">
        <w:rPr>
          <w:rFonts w:ascii="Times New Roman" w:hAnsi="Times New Roman" w:cs="Times New Roman"/>
          <w:b/>
          <w:bCs/>
          <w:color w:val="333333"/>
          <w:sz w:val="24"/>
          <w:szCs w:val="24"/>
        </w:rPr>
        <w:t>действия в отговор на демографските промени</w:t>
      </w:r>
      <w:r w:rsidRPr="00BD5BB8">
        <w:rPr>
          <w:rFonts w:ascii="Times New Roman" w:hAnsi="Times New Roman" w:cs="Times New Roman"/>
          <w:color w:val="333333"/>
          <w:sz w:val="24"/>
          <w:szCs w:val="24"/>
        </w:rPr>
        <w:t xml:space="preserve"> </w:t>
      </w:r>
      <w:r w:rsidRPr="00BD5BB8">
        <w:rPr>
          <w:rFonts w:ascii="Times New Roman" w:hAnsi="Times New Roman" w:cs="Times New Roman"/>
          <w:b/>
          <w:color w:val="333333"/>
          <w:sz w:val="24"/>
          <w:szCs w:val="24"/>
        </w:rPr>
        <w:t>и застаряването на населението и на работната сила</w:t>
      </w:r>
      <w:r w:rsidRPr="00BD5BB8">
        <w:rPr>
          <w:rFonts w:ascii="Times New Roman" w:hAnsi="Times New Roman" w:cs="Times New Roman"/>
          <w:color w:val="333333"/>
          <w:sz w:val="24"/>
          <w:szCs w:val="24"/>
        </w:rPr>
        <w:t xml:space="preserve"> се счита за неотложно и заема приоритетно място в съвместните стратегически и планови действия на държавите-членки на Европейския съюз. </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Застаряването на населението е едно от най-големите социални и икономически предизвикателства, пред които е изправен Европейския Съюз. Прогнозните данни сочат, че ще се увеличава броят и относителният дял на възрастните хора (на 65 и повече години), като особено бързо ще е увеличението в броя на много старите хора (на 85 и повече години). Тези демографски процеси ще имат значително влияние върху различни по обхват политики: най-пряко по отношение на различните изисквания за здравеопазване и грижи за възрастните хора, но също така и по отношение на пазарите на труда, пенсионните системи и системите за социално осигуряване, публичните финанси и др. </w:t>
      </w:r>
    </w:p>
    <w:p w:rsidR="00CC310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Между 200</w:t>
      </w:r>
      <w:r w:rsidR="00EC6360" w:rsidRPr="00BD5BB8">
        <w:rPr>
          <w:rFonts w:ascii="Times New Roman" w:hAnsi="Times New Roman" w:cs="Times New Roman"/>
          <w:sz w:val="24"/>
          <w:szCs w:val="24"/>
        </w:rPr>
        <w:t>2</w:t>
      </w:r>
      <w:r w:rsidRPr="00BD5BB8">
        <w:rPr>
          <w:rFonts w:ascii="Times New Roman" w:hAnsi="Times New Roman" w:cs="Times New Roman"/>
          <w:sz w:val="24"/>
          <w:szCs w:val="24"/>
        </w:rPr>
        <w:t xml:space="preserve"> г. и 201</w:t>
      </w:r>
      <w:r w:rsidR="00EC6360" w:rsidRPr="00BD5BB8">
        <w:rPr>
          <w:rFonts w:ascii="Times New Roman" w:hAnsi="Times New Roman" w:cs="Times New Roman"/>
          <w:sz w:val="24"/>
          <w:szCs w:val="24"/>
        </w:rPr>
        <w:t>7</w:t>
      </w:r>
      <w:r w:rsidRPr="00BD5BB8">
        <w:rPr>
          <w:rFonts w:ascii="Times New Roman" w:hAnsi="Times New Roman" w:cs="Times New Roman"/>
          <w:sz w:val="24"/>
          <w:szCs w:val="24"/>
        </w:rPr>
        <w:t xml:space="preserve"> г. средната продължителност на живот</w:t>
      </w:r>
      <w:r w:rsidR="00EC6360" w:rsidRPr="00BD5BB8">
        <w:rPr>
          <w:rFonts w:ascii="Times New Roman" w:hAnsi="Times New Roman" w:cs="Times New Roman"/>
          <w:sz w:val="24"/>
          <w:szCs w:val="24"/>
        </w:rPr>
        <w:t>а на европейците е нараснала с 3.</w:t>
      </w:r>
      <w:r w:rsidRPr="00BD5BB8">
        <w:rPr>
          <w:rFonts w:ascii="Times New Roman" w:hAnsi="Times New Roman" w:cs="Times New Roman"/>
          <w:sz w:val="24"/>
          <w:szCs w:val="24"/>
        </w:rPr>
        <w:t>2 години</w:t>
      </w:r>
      <w:r w:rsidR="00EC6360" w:rsidRPr="00BD5BB8">
        <w:rPr>
          <w:rFonts w:ascii="Times New Roman" w:hAnsi="Times New Roman" w:cs="Times New Roman"/>
          <w:sz w:val="24"/>
          <w:szCs w:val="24"/>
        </w:rPr>
        <w:t>, от 77.7 на 80.9 години; увеличението е с 2,6 години за жените и 3,8 години за мъжете</w:t>
      </w:r>
      <w:r w:rsidRPr="00BD5BB8">
        <w:rPr>
          <w:rFonts w:ascii="Times New Roman" w:hAnsi="Times New Roman" w:cs="Times New Roman"/>
          <w:sz w:val="24"/>
          <w:szCs w:val="24"/>
        </w:rPr>
        <w:t xml:space="preserve">. </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Промените в структурата на населението на Европейския съюз в голяма степен се дължат на последствията от устойчиво ниските коефициенти на раждаемост и увеличаващата се продължителност на живота. По данни на ЕВРОСТАТ </w:t>
      </w:r>
      <w:r w:rsidR="00CA4E55" w:rsidRPr="00BD5BB8">
        <w:rPr>
          <w:rFonts w:ascii="Times New Roman" w:hAnsi="Times New Roman" w:cs="Times New Roman"/>
          <w:sz w:val="24"/>
          <w:szCs w:val="24"/>
        </w:rPr>
        <w:t>512,</w:t>
      </w:r>
      <w:r w:rsidR="009C033F" w:rsidRPr="00BD5BB8">
        <w:rPr>
          <w:rFonts w:ascii="Times New Roman" w:hAnsi="Times New Roman" w:cs="Times New Roman"/>
          <w:sz w:val="24"/>
          <w:szCs w:val="24"/>
        </w:rPr>
        <w:t>4</w:t>
      </w:r>
      <w:r w:rsidR="00CA4E55" w:rsidRPr="00BD5BB8">
        <w:rPr>
          <w:rFonts w:ascii="Times New Roman" w:hAnsi="Times New Roman" w:cs="Times New Roman"/>
          <w:sz w:val="24"/>
          <w:szCs w:val="24"/>
        </w:rPr>
        <w:t> </w:t>
      </w:r>
      <w:r w:rsidRPr="00BD5BB8">
        <w:rPr>
          <w:rFonts w:ascii="Times New Roman" w:hAnsi="Times New Roman" w:cs="Times New Roman"/>
          <w:sz w:val="24"/>
          <w:szCs w:val="24"/>
        </w:rPr>
        <w:t>милиона души са живели в ЕС-28 през 201</w:t>
      </w:r>
      <w:r w:rsidR="00CA4E55" w:rsidRPr="00BD5BB8">
        <w:rPr>
          <w:rFonts w:ascii="Times New Roman" w:hAnsi="Times New Roman" w:cs="Times New Roman"/>
          <w:sz w:val="24"/>
          <w:szCs w:val="24"/>
          <w:lang w:val="ru-RU"/>
        </w:rPr>
        <w:t>7</w:t>
      </w:r>
      <w:r w:rsidRPr="00BD5BB8">
        <w:rPr>
          <w:rFonts w:ascii="Times New Roman" w:hAnsi="Times New Roman" w:cs="Times New Roman"/>
          <w:sz w:val="24"/>
          <w:szCs w:val="24"/>
        </w:rPr>
        <w:t xml:space="preserve"> г., от които почти </w:t>
      </w:r>
      <w:r w:rsidR="00CA4E55" w:rsidRPr="00BD5BB8">
        <w:rPr>
          <w:rFonts w:ascii="Times New Roman" w:hAnsi="Times New Roman" w:cs="Times New Roman"/>
          <w:sz w:val="24"/>
          <w:szCs w:val="24"/>
          <w:lang w:val="ru-RU"/>
        </w:rPr>
        <w:t>101</w:t>
      </w:r>
      <w:r w:rsidRPr="00BD5BB8">
        <w:rPr>
          <w:rFonts w:ascii="Times New Roman" w:hAnsi="Times New Roman" w:cs="Times New Roman"/>
          <w:sz w:val="24"/>
          <w:szCs w:val="24"/>
        </w:rPr>
        <w:t xml:space="preserve"> милиона са били на 65 и повече години. </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Възрастните хора наброяват повече от една пета от населението в Италия, Гърция</w:t>
      </w:r>
      <w:r w:rsidR="00BF59A8" w:rsidRPr="00BD5BB8">
        <w:rPr>
          <w:rFonts w:ascii="Times New Roman" w:hAnsi="Times New Roman" w:cs="Times New Roman"/>
          <w:sz w:val="24"/>
          <w:szCs w:val="24"/>
          <w:lang w:val="ru-RU"/>
        </w:rPr>
        <w:t>,</w:t>
      </w:r>
      <w:r w:rsidR="00BF59A8" w:rsidRPr="00BD5BB8">
        <w:rPr>
          <w:rFonts w:ascii="Times New Roman" w:hAnsi="Times New Roman" w:cs="Times New Roman"/>
          <w:sz w:val="24"/>
          <w:szCs w:val="24"/>
        </w:rPr>
        <w:t xml:space="preserve"> Германия</w:t>
      </w:r>
      <w:r w:rsidR="00BF59A8" w:rsidRPr="00BD5BB8">
        <w:rPr>
          <w:rFonts w:ascii="Times New Roman" w:hAnsi="Times New Roman" w:cs="Times New Roman"/>
          <w:sz w:val="24"/>
          <w:szCs w:val="24"/>
          <w:lang w:val="ru-RU"/>
        </w:rPr>
        <w:t xml:space="preserve">, Португалия, Финландия, </w:t>
      </w:r>
      <w:r w:rsidR="00BF59A8" w:rsidRPr="00BD5BB8">
        <w:rPr>
          <w:rFonts w:ascii="Times New Roman" w:hAnsi="Times New Roman" w:cs="Times New Roman"/>
          <w:sz w:val="24"/>
          <w:szCs w:val="24"/>
        </w:rPr>
        <w:t>Хърватия, Латвия, България</w:t>
      </w:r>
      <w:r w:rsidRPr="00BD5BB8">
        <w:rPr>
          <w:rFonts w:ascii="Times New Roman" w:hAnsi="Times New Roman" w:cs="Times New Roman"/>
          <w:sz w:val="24"/>
          <w:szCs w:val="24"/>
        </w:rPr>
        <w:t>. Съотношението на възрастните хора към общия брой на населението се различава значително в отделните страни-членки на ЕС. През 201</w:t>
      </w:r>
      <w:r w:rsidR="00BF59A8" w:rsidRPr="00BD5BB8">
        <w:rPr>
          <w:rFonts w:ascii="Times New Roman" w:hAnsi="Times New Roman" w:cs="Times New Roman"/>
          <w:sz w:val="24"/>
          <w:szCs w:val="24"/>
        </w:rPr>
        <w:t>7</w:t>
      </w:r>
      <w:r w:rsidRPr="00BD5BB8">
        <w:rPr>
          <w:rFonts w:ascii="Times New Roman" w:hAnsi="Times New Roman" w:cs="Times New Roman"/>
          <w:sz w:val="24"/>
          <w:szCs w:val="24"/>
        </w:rPr>
        <w:t xml:space="preserve"> г. то е 2</w:t>
      </w:r>
      <w:r w:rsidR="00BF59A8" w:rsidRPr="00BD5BB8">
        <w:rPr>
          <w:rFonts w:ascii="Times New Roman" w:hAnsi="Times New Roman" w:cs="Times New Roman"/>
          <w:sz w:val="24"/>
          <w:szCs w:val="24"/>
        </w:rPr>
        <w:t>2</w:t>
      </w:r>
      <w:r w:rsidR="00FB4291" w:rsidRPr="00BD5BB8">
        <w:rPr>
          <w:rFonts w:ascii="Times New Roman" w:hAnsi="Times New Roman" w:cs="Times New Roman"/>
          <w:sz w:val="24"/>
          <w:szCs w:val="24"/>
        </w:rPr>
        <w:t>.</w:t>
      </w:r>
      <w:r w:rsidR="00BF59A8" w:rsidRPr="00BD5BB8">
        <w:rPr>
          <w:rFonts w:ascii="Times New Roman" w:hAnsi="Times New Roman" w:cs="Times New Roman"/>
          <w:sz w:val="24"/>
          <w:szCs w:val="24"/>
        </w:rPr>
        <w:t>6</w:t>
      </w:r>
      <w:r w:rsidRPr="00BD5BB8">
        <w:rPr>
          <w:rFonts w:ascii="Times New Roman" w:hAnsi="Times New Roman" w:cs="Times New Roman"/>
          <w:sz w:val="24"/>
          <w:szCs w:val="24"/>
        </w:rPr>
        <w:t xml:space="preserve">% в Италия, </w:t>
      </w:r>
      <w:r w:rsidR="00BF59A8" w:rsidRPr="00BD5BB8">
        <w:rPr>
          <w:rFonts w:ascii="Times New Roman" w:hAnsi="Times New Roman" w:cs="Times New Roman"/>
          <w:sz w:val="24"/>
          <w:szCs w:val="24"/>
        </w:rPr>
        <w:t xml:space="preserve">21.8% в Гърция и </w:t>
      </w:r>
      <w:r w:rsidRPr="00BD5BB8">
        <w:rPr>
          <w:rFonts w:ascii="Times New Roman" w:hAnsi="Times New Roman" w:cs="Times New Roman"/>
          <w:sz w:val="24"/>
          <w:szCs w:val="24"/>
        </w:rPr>
        <w:t>2</w:t>
      </w:r>
      <w:r w:rsidR="00BF59A8" w:rsidRPr="00BD5BB8">
        <w:rPr>
          <w:rFonts w:ascii="Times New Roman" w:hAnsi="Times New Roman" w:cs="Times New Roman"/>
          <w:sz w:val="24"/>
          <w:szCs w:val="24"/>
        </w:rPr>
        <w:t>1</w:t>
      </w:r>
      <w:r w:rsidR="00FB4291" w:rsidRPr="00BD5BB8">
        <w:rPr>
          <w:rFonts w:ascii="Times New Roman" w:hAnsi="Times New Roman" w:cs="Times New Roman"/>
          <w:sz w:val="24"/>
          <w:szCs w:val="24"/>
        </w:rPr>
        <w:t>.</w:t>
      </w:r>
      <w:r w:rsidR="00BF59A8" w:rsidRPr="00BD5BB8">
        <w:rPr>
          <w:rFonts w:ascii="Times New Roman" w:hAnsi="Times New Roman" w:cs="Times New Roman"/>
          <w:sz w:val="24"/>
          <w:szCs w:val="24"/>
        </w:rPr>
        <w:t>4% в Германия</w:t>
      </w:r>
      <w:r w:rsidRPr="00BD5BB8">
        <w:rPr>
          <w:rFonts w:ascii="Times New Roman" w:hAnsi="Times New Roman" w:cs="Times New Roman"/>
          <w:sz w:val="24"/>
          <w:szCs w:val="24"/>
        </w:rPr>
        <w:t xml:space="preserve">. </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Значителни разлики между страните-членки на Европейския </w:t>
      </w:r>
      <w:r w:rsidR="00260272" w:rsidRPr="00BD5BB8">
        <w:rPr>
          <w:rFonts w:ascii="Times New Roman" w:hAnsi="Times New Roman" w:cs="Times New Roman"/>
          <w:sz w:val="24"/>
          <w:szCs w:val="24"/>
        </w:rPr>
        <w:t>с</w:t>
      </w:r>
      <w:r w:rsidRPr="00BD5BB8">
        <w:rPr>
          <w:rFonts w:ascii="Times New Roman" w:hAnsi="Times New Roman" w:cs="Times New Roman"/>
          <w:sz w:val="24"/>
          <w:szCs w:val="24"/>
        </w:rPr>
        <w:t xml:space="preserve">ъюз има и в бързината, с която населението застарява. </w:t>
      </w:r>
      <w:r w:rsidRPr="00BD5BB8">
        <w:rPr>
          <w:rFonts w:ascii="Times New Roman" w:hAnsi="Times New Roman" w:cs="Times New Roman"/>
          <w:b/>
          <w:sz w:val="24"/>
          <w:szCs w:val="24"/>
        </w:rPr>
        <w:t>Темповете на демографската промяна между 197</w:t>
      </w:r>
      <w:r w:rsidR="005208B0" w:rsidRPr="00BD5BB8">
        <w:rPr>
          <w:rFonts w:ascii="Times New Roman" w:hAnsi="Times New Roman" w:cs="Times New Roman"/>
          <w:b/>
          <w:sz w:val="24"/>
          <w:szCs w:val="24"/>
        </w:rPr>
        <w:t>6</w:t>
      </w:r>
      <w:r w:rsidRPr="00BD5BB8">
        <w:rPr>
          <w:rFonts w:ascii="Times New Roman" w:hAnsi="Times New Roman" w:cs="Times New Roman"/>
          <w:b/>
          <w:sz w:val="24"/>
          <w:szCs w:val="24"/>
        </w:rPr>
        <w:t xml:space="preserve"> и 201</w:t>
      </w:r>
      <w:r w:rsidR="005208B0" w:rsidRPr="00BD5BB8">
        <w:rPr>
          <w:rFonts w:ascii="Times New Roman" w:hAnsi="Times New Roman" w:cs="Times New Roman"/>
          <w:b/>
          <w:sz w:val="24"/>
          <w:szCs w:val="24"/>
        </w:rPr>
        <w:t>6</w:t>
      </w:r>
      <w:r w:rsidRPr="00BD5BB8">
        <w:rPr>
          <w:rFonts w:ascii="Times New Roman" w:hAnsi="Times New Roman" w:cs="Times New Roman"/>
          <w:b/>
          <w:sz w:val="24"/>
          <w:szCs w:val="24"/>
        </w:rPr>
        <w:t xml:space="preserve"> г. са най-силно изразени в</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Португалия, Италия, Финландия, България</w:t>
      </w:r>
      <w:r w:rsidR="005208B0" w:rsidRPr="00BD5BB8">
        <w:rPr>
          <w:rFonts w:ascii="Times New Roman" w:hAnsi="Times New Roman" w:cs="Times New Roman"/>
          <w:b/>
          <w:sz w:val="24"/>
          <w:szCs w:val="24"/>
        </w:rPr>
        <w:t xml:space="preserve"> и</w:t>
      </w:r>
      <w:r w:rsidRPr="00BD5BB8">
        <w:rPr>
          <w:rFonts w:ascii="Times New Roman" w:hAnsi="Times New Roman" w:cs="Times New Roman"/>
          <w:b/>
          <w:sz w:val="24"/>
          <w:szCs w:val="24"/>
        </w:rPr>
        <w:t xml:space="preserve"> Гърция</w:t>
      </w:r>
      <w:r w:rsidR="00E46872" w:rsidRPr="00BD5BB8">
        <w:rPr>
          <w:rFonts w:ascii="Times New Roman" w:hAnsi="Times New Roman" w:cs="Times New Roman"/>
          <w:b/>
          <w:sz w:val="24"/>
          <w:szCs w:val="24"/>
        </w:rPr>
        <w:t>,</w:t>
      </w:r>
      <w:r w:rsidRPr="00BD5BB8">
        <w:rPr>
          <w:rFonts w:ascii="Times New Roman" w:hAnsi="Times New Roman" w:cs="Times New Roman"/>
          <w:b/>
          <w:sz w:val="24"/>
          <w:szCs w:val="24"/>
        </w:rPr>
        <w:t xml:space="preserve"> докато темповете на промяна са относително бавни в Белгия, Обединеното кралство, </w:t>
      </w:r>
      <w:r w:rsidR="00E46872" w:rsidRPr="00BD5BB8">
        <w:rPr>
          <w:rFonts w:ascii="Times New Roman" w:hAnsi="Times New Roman" w:cs="Times New Roman"/>
          <w:b/>
          <w:sz w:val="24"/>
          <w:szCs w:val="24"/>
        </w:rPr>
        <w:t>Австрия,</w:t>
      </w:r>
      <w:r w:rsidRPr="00BD5BB8">
        <w:rPr>
          <w:rFonts w:ascii="Times New Roman" w:hAnsi="Times New Roman" w:cs="Times New Roman"/>
          <w:b/>
          <w:sz w:val="24"/>
          <w:szCs w:val="24"/>
        </w:rPr>
        <w:t xml:space="preserve"> Ирландия и Люксембург</w:t>
      </w:r>
      <w:r w:rsidRPr="00BD5BB8">
        <w:rPr>
          <w:rFonts w:ascii="Times New Roman" w:hAnsi="Times New Roman" w:cs="Times New Roman"/>
          <w:sz w:val="24"/>
          <w:szCs w:val="24"/>
        </w:rPr>
        <w:t xml:space="preserve">. </w:t>
      </w:r>
    </w:p>
    <w:p w:rsidR="005F2097" w:rsidRPr="00BD5BB8" w:rsidRDefault="005F2097" w:rsidP="005F2097">
      <w:pPr>
        <w:spacing w:after="0" w:line="240" w:lineRule="auto"/>
        <w:jc w:val="center"/>
        <w:rPr>
          <w:rFonts w:ascii="Times New Roman" w:hAnsi="Times New Roman" w:cs="Times New Roman"/>
          <w:color w:val="333333"/>
          <w:sz w:val="24"/>
          <w:szCs w:val="24"/>
        </w:rPr>
      </w:pPr>
    </w:p>
    <w:p w:rsidR="005F2097" w:rsidRPr="00BD5BB8" w:rsidRDefault="005F2097" w:rsidP="005F2097">
      <w:pPr>
        <w:spacing w:after="0" w:line="240" w:lineRule="auto"/>
        <w:jc w:val="center"/>
        <w:rPr>
          <w:rFonts w:ascii="Times New Roman" w:hAnsi="Times New Roman" w:cs="Times New Roman"/>
          <w:color w:val="333333"/>
          <w:sz w:val="24"/>
          <w:szCs w:val="24"/>
          <w:lang w:val="ru-RU"/>
        </w:rPr>
      </w:pPr>
      <w:r w:rsidRPr="00BD5BB8">
        <w:rPr>
          <w:rFonts w:ascii="Times New Roman" w:hAnsi="Times New Roman" w:cs="Times New Roman"/>
          <w:color w:val="333333"/>
          <w:sz w:val="24"/>
          <w:szCs w:val="24"/>
        </w:rPr>
        <w:t>***</w:t>
      </w:r>
    </w:p>
    <w:p w:rsidR="004D1375" w:rsidRPr="00BD5BB8" w:rsidRDefault="004D1375" w:rsidP="005F2097">
      <w:pPr>
        <w:spacing w:after="0" w:line="240" w:lineRule="auto"/>
        <w:jc w:val="center"/>
        <w:rPr>
          <w:rFonts w:ascii="Times New Roman" w:hAnsi="Times New Roman" w:cs="Times New Roman"/>
          <w:color w:val="333333"/>
          <w:sz w:val="24"/>
          <w:szCs w:val="24"/>
          <w:lang w:val="ru-RU"/>
        </w:rPr>
      </w:pPr>
    </w:p>
    <w:p w:rsidR="005F2097" w:rsidRPr="00BD5BB8" w:rsidRDefault="005F2097" w:rsidP="005F2097">
      <w:pPr>
        <w:spacing w:after="0" w:line="240" w:lineRule="auto"/>
        <w:ind w:firstLine="709"/>
        <w:jc w:val="both"/>
        <w:rPr>
          <w:rFonts w:ascii="Times New Roman" w:hAnsi="Times New Roman" w:cs="Times New Roman"/>
          <w:b/>
          <w:bCs/>
          <w:color w:val="333333"/>
          <w:sz w:val="24"/>
          <w:szCs w:val="24"/>
        </w:rPr>
      </w:pPr>
      <w:r w:rsidRPr="00BD5BB8">
        <w:rPr>
          <w:rFonts w:ascii="Times New Roman" w:hAnsi="Times New Roman" w:cs="Times New Roman"/>
          <w:b/>
          <w:bCs/>
          <w:color w:val="333333"/>
          <w:sz w:val="24"/>
          <w:szCs w:val="24"/>
        </w:rPr>
        <w:t xml:space="preserve"> Документ</w:t>
      </w:r>
      <w:r w:rsidR="00665D42" w:rsidRPr="00BD5BB8">
        <w:rPr>
          <w:rFonts w:ascii="Times New Roman" w:hAnsi="Times New Roman" w:cs="Times New Roman"/>
          <w:b/>
          <w:bCs/>
          <w:color w:val="333333"/>
          <w:sz w:val="24"/>
          <w:szCs w:val="24"/>
        </w:rPr>
        <w:t>ът</w:t>
      </w:r>
      <w:r w:rsidRPr="00BD5BB8">
        <w:rPr>
          <w:rFonts w:ascii="Times New Roman" w:hAnsi="Times New Roman" w:cs="Times New Roman"/>
          <w:b/>
          <w:bCs/>
          <w:color w:val="333333"/>
          <w:sz w:val="24"/>
          <w:szCs w:val="24"/>
        </w:rPr>
        <w:t xml:space="preserve"> за размисъл</w:t>
      </w:r>
      <w:r w:rsidR="004D1375" w:rsidRPr="00BD5BB8">
        <w:rPr>
          <w:rFonts w:ascii="Times New Roman" w:hAnsi="Times New Roman" w:cs="Times New Roman"/>
          <w:b/>
          <w:bCs/>
          <w:iCs/>
          <w:color w:val="333333"/>
          <w:sz w:val="24"/>
          <w:szCs w:val="24"/>
          <w:vertAlign w:val="superscript"/>
        </w:rPr>
        <w:footnoteReference w:id="5"/>
      </w:r>
      <w:r w:rsidRPr="00BD5BB8">
        <w:rPr>
          <w:rFonts w:ascii="Times New Roman" w:hAnsi="Times New Roman" w:cs="Times New Roman"/>
          <w:b/>
          <w:bCs/>
          <w:color w:val="333333"/>
          <w:sz w:val="24"/>
          <w:szCs w:val="24"/>
        </w:rPr>
        <w:t xml:space="preserve"> относно социалното измерение на Европа вниманието се фокусира върху проблемите и възможностите на застаряването на населението:</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Европейците са по-здрави и живеят по-дълго, кое</w:t>
      </w:r>
      <w:r w:rsidRPr="00BD5BB8">
        <w:rPr>
          <w:rFonts w:ascii="Times New Roman" w:hAnsi="Times New Roman" w:cs="Times New Roman"/>
          <w:sz w:val="24"/>
          <w:szCs w:val="24"/>
        </w:rPr>
        <w:softHyphen/>
        <w:t xml:space="preserve">то определено е добра новина. Благодарение на десетилетията мир, здравните грижи, медицинския напредък и по-добрите условия на живот и работа все повече хора се радват на по-дълъг и по-активен живот, след като се пенсионират. </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lastRenderedPageBreak/>
        <w:t xml:space="preserve">– </w:t>
      </w:r>
      <w:r w:rsidRPr="00BD5BB8">
        <w:rPr>
          <w:rFonts w:ascii="Times New Roman" w:hAnsi="Times New Roman" w:cs="Times New Roman"/>
          <w:sz w:val="24"/>
          <w:szCs w:val="24"/>
        </w:rPr>
        <w:t>Продължителността на живота значително нарас</w:t>
      </w:r>
      <w:r w:rsidRPr="00BD5BB8">
        <w:rPr>
          <w:rFonts w:ascii="Times New Roman" w:hAnsi="Times New Roman" w:cs="Times New Roman"/>
          <w:sz w:val="24"/>
          <w:szCs w:val="24"/>
        </w:rPr>
        <w:softHyphen/>
        <w:t>на. Очаква се тя да се увеличи от 43 години средно през 1900 г. на 82 години до 2050 г. за мъжете и от 46 години средно през 1900 г. на 87 години до 2050 г. за жените. По-голямата част от бебетата, родени в Европа в периода от сега до 2025 г., ще бъдат живи и след 100 години. Едновременно с това все още съществуват значителни разлики между отделните групи доходи и различните региони, що се отнася до продължителността на живота в добро здраве и достъпа до здравни услуги.</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Европейците имат по-малко деца. Дока</w:t>
      </w:r>
      <w:r w:rsidRPr="00BD5BB8">
        <w:rPr>
          <w:rFonts w:ascii="Times New Roman" w:hAnsi="Times New Roman" w:cs="Times New Roman"/>
          <w:sz w:val="24"/>
          <w:szCs w:val="24"/>
        </w:rPr>
        <w:softHyphen/>
        <w:t>то през 60-те години на миналия век коефициентът на плодовитост традиционно е бил повече от две живородени деца на жена, понастоящем средният коефициент на плодовитост в ЕС е 1,58. Например в Ирландия и в Португалия коефициентът на пло</w:t>
      </w:r>
      <w:r w:rsidRPr="00BD5BB8">
        <w:rPr>
          <w:rFonts w:ascii="Times New Roman" w:hAnsi="Times New Roman" w:cs="Times New Roman"/>
          <w:sz w:val="24"/>
          <w:szCs w:val="24"/>
        </w:rPr>
        <w:softHyphen/>
        <w:t>довитост надхвърляше 3, а в момента е под 2.</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b/>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Съчетанието от нарастваща продължителност на живота и намаляващи коефициенти на плодовитост води до силно изразено застаряване на обществото. В ЕС вече живеят повече хора над 65 години, отколкото деца под 14 години. До 2050 г. почти една трета от европейците ще бъдат на 65 години или повече, докато днес европейците в тази въз</w:t>
      </w:r>
      <w:r w:rsidRPr="00BD5BB8">
        <w:rPr>
          <w:rFonts w:ascii="Times New Roman" w:hAnsi="Times New Roman" w:cs="Times New Roman"/>
          <w:sz w:val="24"/>
          <w:szCs w:val="24"/>
        </w:rPr>
        <w:softHyphen/>
        <w:t xml:space="preserve">растова група са по-малко от една пета. </w:t>
      </w:r>
      <w:r w:rsidRPr="00BD5BB8">
        <w:rPr>
          <w:rFonts w:ascii="Times New Roman" w:hAnsi="Times New Roman" w:cs="Times New Roman"/>
          <w:b/>
          <w:sz w:val="24"/>
          <w:szCs w:val="24"/>
        </w:rPr>
        <w:t>Със средна възраст 45 години Европа ще бъде „най-застарели</w:t>
      </w:r>
      <w:r w:rsidRPr="00BD5BB8">
        <w:rPr>
          <w:rFonts w:ascii="Times New Roman" w:hAnsi="Times New Roman" w:cs="Times New Roman"/>
          <w:b/>
          <w:sz w:val="24"/>
          <w:szCs w:val="24"/>
        </w:rPr>
        <w:softHyphen/>
        <w:t xml:space="preserve">ят“ регион в света до 2030 г. </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Увеличаването на годините живот обаче невинаги означава години живот в добро здравословно със</w:t>
      </w:r>
      <w:r w:rsidRPr="00BD5BB8">
        <w:rPr>
          <w:rFonts w:ascii="Times New Roman" w:hAnsi="Times New Roman" w:cs="Times New Roman"/>
          <w:sz w:val="24"/>
          <w:szCs w:val="24"/>
        </w:rPr>
        <w:softHyphen/>
        <w:t>тояни</w:t>
      </w:r>
      <w:r w:rsidR="00260272" w:rsidRPr="00BD5BB8">
        <w:rPr>
          <w:rFonts w:ascii="Times New Roman" w:hAnsi="Times New Roman" w:cs="Times New Roman"/>
          <w:sz w:val="24"/>
          <w:szCs w:val="24"/>
        </w:rPr>
        <w:t>е: почти 50 милиона души в ЕС</w:t>
      </w:r>
      <w:r w:rsidRPr="00BD5BB8">
        <w:rPr>
          <w:rFonts w:ascii="Times New Roman" w:hAnsi="Times New Roman" w:cs="Times New Roman"/>
          <w:sz w:val="24"/>
          <w:szCs w:val="24"/>
        </w:rPr>
        <w:t xml:space="preserve"> страдат от хронични заболявания, а всяка година приблизител</w:t>
      </w:r>
      <w:r w:rsidRPr="00BD5BB8">
        <w:rPr>
          <w:rFonts w:ascii="Times New Roman" w:hAnsi="Times New Roman" w:cs="Times New Roman"/>
          <w:sz w:val="24"/>
          <w:szCs w:val="24"/>
        </w:rPr>
        <w:softHyphen/>
        <w:t>но половин милион души в трудоспособна възраст умират преждевременно от такива болести. Тези смъртни случаи могат да бъдат предотвратени чрез по-ефективни политики на публично здравеопазва</w:t>
      </w:r>
      <w:r w:rsidRPr="00BD5BB8">
        <w:rPr>
          <w:rFonts w:ascii="Times New Roman" w:hAnsi="Times New Roman" w:cs="Times New Roman"/>
          <w:sz w:val="24"/>
          <w:szCs w:val="24"/>
        </w:rPr>
        <w:softHyphen/>
        <w:t>не и превенция или предоставянето на по-своевре</w:t>
      </w:r>
      <w:r w:rsidRPr="00BD5BB8">
        <w:rPr>
          <w:rFonts w:ascii="Times New Roman" w:hAnsi="Times New Roman" w:cs="Times New Roman"/>
          <w:sz w:val="24"/>
          <w:szCs w:val="24"/>
        </w:rPr>
        <w:softHyphen/>
        <w:t>менни и ефективни здравни грижи.</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По-голямата продължителност на живота ще окаже дълбоко въздействие върху публичните политики и социалните услуги отвъд здравната сфера и сферата на полагане на грижи, а именно през целия път от образованието до нуждата от жилищно настанява</w:t>
      </w:r>
      <w:r w:rsidRPr="00BD5BB8">
        <w:rPr>
          <w:rFonts w:ascii="Times New Roman" w:hAnsi="Times New Roman" w:cs="Times New Roman"/>
          <w:sz w:val="24"/>
          <w:szCs w:val="24"/>
        </w:rPr>
        <w:softHyphen/>
        <w:t>не и мобилност, отговарящи на потребностите на съответната възраст. Застаряването на населението може да създаде нови работни места вследствие на бързото развитие на отрасъла на социалната икономика, било то по отношение на развлекател</w:t>
      </w:r>
      <w:r w:rsidRPr="00BD5BB8">
        <w:rPr>
          <w:rFonts w:ascii="Times New Roman" w:hAnsi="Times New Roman" w:cs="Times New Roman"/>
          <w:sz w:val="24"/>
          <w:szCs w:val="24"/>
        </w:rPr>
        <w:softHyphen/>
        <w:t xml:space="preserve">ните дейности, или на предоставянето на грижи. </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В резултат на застаряването възникват и нови потребности, които трябва да бъдат удовлетворени. Днес почти една трета от хората над 65 години жи</w:t>
      </w:r>
      <w:r w:rsidRPr="00BD5BB8">
        <w:rPr>
          <w:rFonts w:ascii="Times New Roman" w:hAnsi="Times New Roman" w:cs="Times New Roman"/>
          <w:sz w:val="24"/>
          <w:szCs w:val="24"/>
        </w:rPr>
        <w:softHyphen/>
        <w:t>веят сами, а две трети от населението над 75 години е зависимо от неформалните грижи, които полагат за тях в повечето случаи най-близките членове на семейството. Всеки шести възрастен човек живее в бедност, като възрастните жени са особено засегна</w:t>
      </w:r>
      <w:r w:rsidRPr="00BD5BB8">
        <w:rPr>
          <w:rFonts w:ascii="Times New Roman" w:hAnsi="Times New Roman" w:cs="Times New Roman"/>
          <w:sz w:val="24"/>
          <w:szCs w:val="24"/>
        </w:rPr>
        <w:softHyphen/>
        <w:t>ти от ниски пенсии поради непълен трудов стаж.</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Всичко това ще се отрази на финансовата устой</w:t>
      </w:r>
      <w:r w:rsidRPr="00BD5BB8">
        <w:rPr>
          <w:rFonts w:ascii="Times New Roman" w:hAnsi="Times New Roman" w:cs="Times New Roman"/>
          <w:sz w:val="24"/>
          <w:szCs w:val="24"/>
        </w:rPr>
        <w:softHyphen/>
        <w:t>чивост на системите за социално подпомагане, което пък ще повлияе на фискалнат</w:t>
      </w:r>
      <w:r w:rsidR="00260272" w:rsidRPr="00BD5BB8">
        <w:rPr>
          <w:rFonts w:ascii="Times New Roman" w:hAnsi="Times New Roman" w:cs="Times New Roman"/>
          <w:sz w:val="24"/>
          <w:szCs w:val="24"/>
        </w:rPr>
        <w:t>а ситуация в държавите. За ЕС</w:t>
      </w:r>
      <w:r w:rsidRPr="00BD5BB8">
        <w:rPr>
          <w:rFonts w:ascii="Times New Roman" w:hAnsi="Times New Roman" w:cs="Times New Roman"/>
          <w:sz w:val="24"/>
          <w:szCs w:val="24"/>
        </w:rPr>
        <w:t xml:space="preserve"> може да се очаква, че свързаните с пен</w:t>
      </w:r>
      <w:r w:rsidR="00683FB4" w:rsidRPr="00BD5BB8">
        <w:rPr>
          <w:rFonts w:ascii="Times New Roman" w:hAnsi="Times New Roman" w:cs="Times New Roman"/>
          <w:sz w:val="24"/>
          <w:szCs w:val="24"/>
        </w:rPr>
        <w:t>сиите разходи ще достигнат 12,4</w:t>
      </w:r>
      <w:r w:rsidRPr="00BD5BB8">
        <w:rPr>
          <w:rFonts w:ascii="Times New Roman" w:hAnsi="Times New Roman" w:cs="Times New Roman"/>
          <w:sz w:val="24"/>
          <w:szCs w:val="24"/>
        </w:rPr>
        <w:t>% от БВП до 2030 г., разходите</w:t>
      </w:r>
      <w:r w:rsidR="00683FB4" w:rsidRPr="00BD5BB8">
        <w:rPr>
          <w:rFonts w:ascii="Times New Roman" w:hAnsi="Times New Roman" w:cs="Times New Roman"/>
          <w:sz w:val="24"/>
          <w:szCs w:val="24"/>
        </w:rPr>
        <w:t xml:space="preserve"> за здравни грижи — 7,7</w:t>
      </w:r>
      <w:r w:rsidRPr="00BD5BB8">
        <w:rPr>
          <w:rFonts w:ascii="Times New Roman" w:hAnsi="Times New Roman" w:cs="Times New Roman"/>
          <w:sz w:val="24"/>
          <w:szCs w:val="24"/>
        </w:rPr>
        <w:t xml:space="preserve">% от БВП, а </w:t>
      </w:r>
      <w:r w:rsidR="00683FB4" w:rsidRPr="00BD5BB8">
        <w:rPr>
          <w:rFonts w:ascii="Times New Roman" w:hAnsi="Times New Roman" w:cs="Times New Roman"/>
          <w:sz w:val="24"/>
          <w:szCs w:val="24"/>
        </w:rPr>
        <w:t>тези за дългосрочни грижи — 2,4</w:t>
      </w:r>
      <w:r w:rsidRPr="00BD5BB8">
        <w:rPr>
          <w:rFonts w:ascii="Times New Roman" w:hAnsi="Times New Roman" w:cs="Times New Roman"/>
          <w:sz w:val="24"/>
          <w:szCs w:val="24"/>
        </w:rPr>
        <w:t>% от БВП. През 2060 г. за всеки възрастен човек ще има само по двама души в тру</w:t>
      </w:r>
      <w:r w:rsidRPr="00BD5BB8">
        <w:rPr>
          <w:rFonts w:ascii="Times New Roman" w:hAnsi="Times New Roman" w:cs="Times New Roman"/>
          <w:sz w:val="24"/>
          <w:szCs w:val="24"/>
        </w:rPr>
        <w:softHyphen/>
        <w:t>доспособна възраст в сравнение с четирима през 2008 г. Ефектът ще бъде смекчен посредством пенсионни реформи, чиято цел е пенсионната възраст да бъде съобразена с про</w:t>
      </w:r>
      <w:r w:rsidRPr="00BD5BB8">
        <w:rPr>
          <w:rFonts w:ascii="Times New Roman" w:hAnsi="Times New Roman" w:cs="Times New Roman"/>
          <w:sz w:val="24"/>
          <w:szCs w:val="24"/>
        </w:rPr>
        <w:softHyphen/>
        <w:t>дължителността на живота, но се очаква да възник</w:t>
      </w:r>
      <w:r w:rsidRPr="00BD5BB8">
        <w:rPr>
          <w:rFonts w:ascii="Times New Roman" w:hAnsi="Times New Roman" w:cs="Times New Roman"/>
          <w:sz w:val="24"/>
          <w:szCs w:val="24"/>
        </w:rPr>
        <w:softHyphen/>
        <w:t>нат значителни нови разходи за здравни грижи.</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Намаляващата работна сила може също така да из</w:t>
      </w:r>
      <w:r w:rsidRPr="00BD5BB8">
        <w:rPr>
          <w:rFonts w:ascii="Times New Roman" w:hAnsi="Times New Roman" w:cs="Times New Roman"/>
          <w:sz w:val="24"/>
          <w:szCs w:val="24"/>
        </w:rPr>
        <w:softHyphen/>
        <w:t>ложи на риск способността на страните да поддържат ни</w:t>
      </w:r>
      <w:r w:rsidRPr="00BD5BB8">
        <w:rPr>
          <w:rFonts w:ascii="Times New Roman" w:hAnsi="Times New Roman" w:cs="Times New Roman"/>
          <w:sz w:val="24"/>
          <w:szCs w:val="24"/>
        </w:rPr>
        <w:softHyphen/>
        <w:t>вото на икономически растеж. Въпреки че във вся</w:t>
      </w:r>
      <w:r w:rsidRPr="00BD5BB8">
        <w:rPr>
          <w:rFonts w:ascii="Times New Roman" w:hAnsi="Times New Roman" w:cs="Times New Roman"/>
          <w:sz w:val="24"/>
          <w:szCs w:val="24"/>
        </w:rPr>
        <w:softHyphen/>
        <w:t xml:space="preserve">ко едно </w:t>
      </w:r>
      <w:r w:rsidRPr="00BD5BB8">
        <w:rPr>
          <w:rFonts w:ascii="Times New Roman" w:hAnsi="Times New Roman" w:cs="Times New Roman"/>
          <w:sz w:val="24"/>
          <w:szCs w:val="24"/>
        </w:rPr>
        <w:lastRenderedPageBreak/>
        <w:t>поколение хората, които желаят да работят и да работят по-дълго, се увеличават, това може да се окаже недостатъчно, за да компенсира общото намаляване на броя на населението. В документа се приема, че законната миграция може да осигури на ЕС уменията, които са необходими за преодоляване на дефицитите на пазара на труда, и да допринесе за устойчивостта на системите за социално подпомагане.</w:t>
      </w:r>
    </w:p>
    <w:p w:rsidR="005F2097" w:rsidRPr="00BD5BB8" w:rsidRDefault="005F2097" w:rsidP="005F2097">
      <w:pPr>
        <w:autoSpaceDE w:val="0"/>
        <w:autoSpaceDN w:val="0"/>
        <w:adjustRightInd w:val="0"/>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Застаряването на населението ще се отрази и на относителната тежест на Европа в света, тъй като навсякъде другаде населението се увеличава по-бързо. До 2060</w:t>
      </w:r>
      <w:r w:rsidR="00260272" w:rsidRPr="00BD5BB8">
        <w:rPr>
          <w:rFonts w:ascii="Times New Roman" w:hAnsi="Times New Roman" w:cs="Times New Roman"/>
          <w:sz w:val="24"/>
          <w:szCs w:val="24"/>
          <w:lang w:val="ru-RU"/>
        </w:rPr>
        <w:t xml:space="preserve"> </w:t>
      </w:r>
      <w:r w:rsidR="00683FB4" w:rsidRPr="00BD5BB8">
        <w:rPr>
          <w:rFonts w:ascii="Times New Roman" w:hAnsi="Times New Roman" w:cs="Times New Roman"/>
          <w:sz w:val="24"/>
          <w:szCs w:val="24"/>
        </w:rPr>
        <w:t>г</w:t>
      </w:r>
      <w:r w:rsidR="00260272" w:rsidRPr="00BD5BB8">
        <w:rPr>
          <w:rFonts w:ascii="Times New Roman" w:hAnsi="Times New Roman" w:cs="Times New Roman"/>
          <w:sz w:val="24"/>
          <w:szCs w:val="24"/>
        </w:rPr>
        <w:t>одина,</w:t>
      </w:r>
      <w:r w:rsidR="00683FB4" w:rsidRPr="00BD5BB8">
        <w:rPr>
          <w:rFonts w:ascii="Times New Roman" w:hAnsi="Times New Roman" w:cs="Times New Roman"/>
          <w:sz w:val="24"/>
          <w:szCs w:val="24"/>
        </w:rPr>
        <w:t xml:space="preserve"> Европа ще съставлява едва 5</w:t>
      </w:r>
      <w:r w:rsidRPr="00BD5BB8">
        <w:rPr>
          <w:rFonts w:ascii="Times New Roman" w:hAnsi="Times New Roman" w:cs="Times New Roman"/>
          <w:sz w:val="24"/>
          <w:szCs w:val="24"/>
        </w:rPr>
        <w:t>% от световното население. Дотогава населе</w:t>
      </w:r>
      <w:r w:rsidRPr="00BD5BB8">
        <w:rPr>
          <w:rFonts w:ascii="Times New Roman" w:hAnsi="Times New Roman" w:cs="Times New Roman"/>
          <w:sz w:val="24"/>
          <w:szCs w:val="24"/>
        </w:rPr>
        <w:softHyphen/>
        <w:t>нието на нито една отделна дъ</w:t>
      </w:r>
      <w:r w:rsidR="00683FB4" w:rsidRPr="00BD5BB8">
        <w:rPr>
          <w:rFonts w:ascii="Times New Roman" w:hAnsi="Times New Roman" w:cs="Times New Roman"/>
          <w:sz w:val="24"/>
          <w:szCs w:val="24"/>
        </w:rPr>
        <w:t>ржава-членка няма да бъде над 1</w:t>
      </w:r>
      <w:r w:rsidRPr="00BD5BB8">
        <w:rPr>
          <w:rFonts w:ascii="Times New Roman" w:hAnsi="Times New Roman" w:cs="Times New Roman"/>
          <w:sz w:val="24"/>
          <w:szCs w:val="24"/>
        </w:rPr>
        <w:t>% от световното население. Поло</w:t>
      </w:r>
      <w:r w:rsidRPr="00BD5BB8">
        <w:rPr>
          <w:rFonts w:ascii="Times New Roman" w:hAnsi="Times New Roman" w:cs="Times New Roman"/>
          <w:sz w:val="24"/>
          <w:szCs w:val="24"/>
        </w:rPr>
        <w:softHyphen/>
        <w:t>жението е особено тежко в Литва, където според настоящите прогнози се очаква населението да намалее с повече от една трета до 2080 г. В Слова</w:t>
      </w:r>
      <w:r w:rsidRPr="00BD5BB8">
        <w:rPr>
          <w:rFonts w:ascii="Times New Roman" w:hAnsi="Times New Roman" w:cs="Times New Roman"/>
          <w:sz w:val="24"/>
          <w:szCs w:val="24"/>
        </w:rPr>
        <w:softHyphen/>
        <w:t>кия, Гърция, Португалия и България се прогноз</w:t>
      </w:r>
      <w:r w:rsidR="00683FB4" w:rsidRPr="00BD5BB8">
        <w:rPr>
          <w:rFonts w:ascii="Times New Roman" w:hAnsi="Times New Roman" w:cs="Times New Roman"/>
          <w:sz w:val="24"/>
          <w:szCs w:val="24"/>
        </w:rPr>
        <w:t>ира населението да намалее с 30</w:t>
      </w:r>
      <w:r w:rsidRPr="00BD5BB8">
        <w:rPr>
          <w:rFonts w:ascii="Times New Roman" w:hAnsi="Times New Roman" w:cs="Times New Roman"/>
          <w:sz w:val="24"/>
          <w:szCs w:val="24"/>
        </w:rPr>
        <w:t>%.</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В общ план застаряването на населението поставя и въпроса за справедливостта между поколенията. Понастоящем съществува реална опасност за разделение на поколенията на по-млади и по-стари по отношение на вземането на решения, богатството, материалната обезпеченост и достъпа до жилищно настаняване, както и във връзка с поделянето на финансовата и фискалната тежест, свързани със застаряването на обществото.</w:t>
      </w: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eastAsia="MyriadPro-Regular" w:hAnsi="Times New Roman" w:cs="Times New Roman"/>
          <w:sz w:val="24"/>
          <w:szCs w:val="24"/>
        </w:rPr>
        <w:t xml:space="preserve">– </w:t>
      </w:r>
      <w:r w:rsidRPr="00BD5BB8">
        <w:rPr>
          <w:rFonts w:ascii="Times New Roman" w:hAnsi="Times New Roman" w:cs="Times New Roman"/>
          <w:sz w:val="24"/>
          <w:szCs w:val="24"/>
        </w:rPr>
        <w:t>Промените във връзка с населението настъпват в момент на засилена урбанизация. Над 70% от европейците живеят в градовете, като до 2050 г. този процент ще достигне 80. Въпреки че в Европа се намират някои от „най-интелигентните“ градове в света, налице е възможност, а и отговорност тези градове да бъдат свързани още по-добре и да се повиши тяхната ефективност по отношение на използването на природни и енергийни ресурси. Сред основните предизвикателства ще бъдат също така установяването на по-приобщаваща и по-достъпна градска среда с цел да бъдат удовлетворени потребностите на разнородно население, включващо работещи родители, хора с увреждания и възрастни хора.</w:t>
      </w:r>
    </w:p>
    <w:p w:rsidR="005F2097" w:rsidRPr="00BD5BB8" w:rsidRDefault="005F2097" w:rsidP="005F2097">
      <w:pPr>
        <w:autoSpaceDE w:val="0"/>
        <w:autoSpaceDN w:val="0"/>
        <w:adjustRightInd w:val="0"/>
        <w:spacing w:after="0" w:line="240" w:lineRule="auto"/>
        <w:jc w:val="both"/>
        <w:rPr>
          <w:rFonts w:ascii="Times New Roman" w:hAnsi="Times New Roman" w:cs="Times New Roman"/>
          <w:color w:val="000000"/>
          <w:sz w:val="24"/>
          <w:szCs w:val="24"/>
        </w:rPr>
      </w:pPr>
      <w:r w:rsidRPr="00BD5BB8">
        <w:rPr>
          <w:rFonts w:ascii="Times New Roman" w:hAnsi="Times New Roman" w:cs="Times New Roman"/>
          <w:color w:val="000000"/>
          <w:sz w:val="24"/>
          <w:szCs w:val="24"/>
        </w:rPr>
        <w:tab/>
        <w:t>С демографските промени се обясняват настъпилите по-мащабни промени в обществото, като нови на</w:t>
      </w:r>
      <w:r w:rsidRPr="00BD5BB8">
        <w:rPr>
          <w:rFonts w:ascii="Times New Roman" w:hAnsi="Times New Roman" w:cs="Times New Roman"/>
          <w:color w:val="000000"/>
          <w:sz w:val="24"/>
          <w:szCs w:val="24"/>
        </w:rPr>
        <w:softHyphen/>
        <w:t>чини на живот, нова териториална динамика, нови навици на потребление и нови жилищни условия.</w:t>
      </w:r>
    </w:p>
    <w:p w:rsidR="005F2097" w:rsidRPr="00BD5BB8" w:rsidRDefault="005F2097" w:rsidP="005F2097">
      <w:pPr>
        <w:autoSpaceDE w:val="0"/>
        <w:autoSpaceDN w:val="0"/>
        <w:adjustRightInd w:val="0"/>
        <w:spacing w:after="0" w:line="240" w:lineRule="auto"/>
        <w:jc w:val="both"/>
        <w:rPr>
          <w:rFonts w:ascii="Times New Roman" w:hAnsi="Times New Roman" w:cs="Times New Roman"/>
          <w:color w:val="000000"/>
          <w:sz w:val="24"/>
          <w:szCs w:val="24"/>
        </w:rPr>
      </w:pPr>
      <w:r w:rsidRPr="00BD5BB8">
        <w:rPr>
          <w:rFonts w:ascii="Times New Roman" w:hAnsi="Times New Roman" w:cs="Times New Roman"/>
          <w:color w:val="000000"/>
          <w:sz w:val="24"/>
          <w:szCs w:val="24"/>
        </w:rPr>
        <w:tab/>
        <w:t>Вслед</w:t>
      </w:r>
      <w:r w:rsidRPr="00BD5BB8">
        <w:rPr>
          <w:rFonts w:ascii="Times New Roman" w:hAnsi="Times New Roman" w:cs="Times New Roman"/>
          <w:color w:val="000000"/>
          <w:sz w:val="24"/>
          <w:szCs w:val="24"/>
        </w:rPr>
        <w:softHyphen/>
        <w:t>ствие на протичащите промени се очаква да възникнат съществени нови предизвикателства във връзка с образованието, обучението, уменията, уче</w:t>
      </w:r>
      <w:r w:rsidRPr="00BD5BB8">
        <w:rPr>
          <w:rFonts w:ascii="Times New Roman" w:hAnsi="Times New Roman" w:cs="Times New Roman"/>
          <w:color w:val="000000"/>
          <w:sz w:val="24"/>
          <w:szCs w:val="24"/>
        </w:rPr>
        <w:softHyphen/>
        <w:t>нето през целия живот, управлението на човешки</w:t>
      </w:r>
      <w:r w:rsidRPr="00BD5BB8">
        <w:rPr>
          <w:rFonts w:ascii="Times New Roman" w:hAnsi="Times New Roman" w:cs="Times New Roman"/>
          <w:color w:val="000000"/>
          <w:sz w:val="24"/>
          <w:szCs w:val="24"/>
        </w:rPr>
        <w:softHyphen/>
        <w:t xml:space="preserve">те ресурси и капацитета за управление на сложни професионални преходи през целия живот на един човек. </w:t>
      </w:r>
    </w:p>
    <w:p w:rsidR="005F2097" w:rsidRPr="00BD5BB8" w:rsidRDefault="005F2097" w:rsidP="005F2097">
      <w:pPr>
        <w:spacing w:after="0" w:line="240" w:lineRule="auto"/>
        <w:jc w:val="center"/>
        <w:rPr>
          <w:rFonts w:ascii="Times New Roman" w:eastAsia="Times New Roman" w:hAnsi="Times New Roman" w:cs="Times New Roman"/>
          <w:b/>
          <w:caps/>
          <w:sz w:val="24"/>
          <w:szCs w:val="24"/>
        </w:rPr>
      </w:pPr>
    </w:p>
    <w:p w:rsidR="00A35342" w:rsidRPr="00BD5BB8" w:rsidRDefault="00A35342" w:rsidP="005F2097">
      <w:pPr>
        <w:spacing w:after="0" w:line="240" w:lineRule="auto"/>
        <w:jc w:val="center"/>
        <w:rPr>
          <w:rFonts w:ascii="Times New Roman" w:eastAsia="Times New Roman" w:hAnsi="Times New Roman" w:cs="Times New Roman"/>
          <w:b/>
          <w:caps/>
          <w:sz w:val="24"/>
          <w:szCs w:val="24"/>
        </w:rPr>
      </w:pPr>
    </w:p>
    <w:p w:rsidR="005F2097" w:rsidRPr="00BD5BB8" w:rsidRDefault="005F2097" w:rsidP="00E7186B">
      <w:pPr>
        <w:numPr>
          <w:ilvl w:val="1"/>
          <w:numId w:val="5"/>
        </w:numPr>
        <w:spacing w:after="0" w:line="240" w:lineRule="auto"/>
        <w:jc w:val="center"/>
        <w:rPr>
          <w:rFonts w:ascii="Times New Roman Bold" w:eastAsia="Times New Roman" w:hAnsi="Times New Roman Bold" w:cs="Times New Roman"/>
          <w:b/>
          <w:sz w:val="28"/>
          <w:szCs w:val="28"/>
        </w:rPr>
      </w:pPr>
      <w:r w:rsidRPr="00BD5BB8">
        <w:rPr>
          <w:rFonts w:ascii="Times New Roman Bold" w:eastAsia="Times New Roman" w:hAnsi="Times New Roman Bold" w:cs="Times New Roman"/>
          <w:b/>
          <w:sz w:val="28"/>
          <w:szCs w:val="28"/>
        </w:rPr>
        <w:t>Демографските процеси в България</w:t>
      </w:r>
    </w:p>
    <w:p w:rsidR="005F2097" w:rsidRPr="00BD5BB8" w:rsidRDefault="005F2097" w:rsidP="005F2097">
      <w:pPr>
        <w:spacing w:after="0" w:line="240" w:lineRule="auto"/>
        <w:jc w:val="center"/>
        <w:rPr>
          <w:rFonts w:ascii="Times New Roman" w:hAnsi="Times New Roman" w:cs="Times New Roman"/>
          <w:b/>
          <w:sz w:val="24"/>
          <w:szCs w:val="24"/>
        </w:rPr>
      </w:pPr>
    </w:p>
    <w:p w:rsidR="005F2097" w:rsidRPr="00BD5BB8" w:rsidRDefault="005F2097" w:rsidP="005F2097">
      <w:pPr>
        <w:autoSpaceDE w:val="0"/>
        <w:autoSpaceDN w:val="0"/>
        <w:adjustRightInd w:val="0"/>
        <w:spacing w:after="0" w:line="240" w:lineRule="auto"/>
        <w:ind w:firstLine="601"/>
        <w:jc w:val="both"/>
        <w:rPr>
          <w:rFonts w:ascii="Times New Roman" w:hAnsi="Times New Roman" w:cs="Times New Roman"/>
          <w:color w:val="000000" w:themeColor="text1"/>
          <w:sz w:val="24"/>
          <w:szCs w:val="24"/>
        </w:rPr>
      </w:pPr>
      <w:r w:rsidRPr="00BD5BB8">
        <w:rPr>
          <w:rFonts w:ascii="Times New Roman" w:hAnsi="Times New Roman" w:cs="Times New Roman"/>
          <w:sz w:val="24"/>
          <w:szCs w:val="24"/>
        </w:rPr>
        <w:t>През 201</w:t>
      </w:r>
      <w:r w:rsidR="009D5796" w:rsidRPr="00BD5BB8">
        <w:rPr>
          <w:rFonts w:ascii="Times New Roman" w:hAnsi="Times New Roman" w:cs="Times New Roman"/>
          <w:sz w:val="24"/>
          <w:szCs w:val="24"/>
        </w:rPr>
        <w:t>7</w:t>
      </w:r>
      <w:r w:rsidRPr="00BD5BB8">
        <w:rPr>
          <w:rFonts w:ascii="Times New Roman" w:hAnsi="Times New Roman" w:cs="Times New Roman"/>
          <w:sz w:val="24"/>
          <w:szCs w:val="24"/>
        </w:rPr>
        <w:t xml:space="preserve"> и 201</w:t>
      </w:r>
      <w:r w:rsidR="009D5796"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текущата демографска ситуация в България се характеризира с продължаващо намаляване и застаряване на населението,  ниски нива на раждаемост и високи нива на обща смъртност. </w:t>
      </w:r>
      <w:r w:rsidRPr="00BD5BB8">
        <w:rPr>
          <w:rFonts w:ascii="Times New Roman" w:hAnsi="Times New Roman" w:cs="Times New Roman"/>
          <w:color w:val="000000" w:themeColor="text1"/>
          <w:sz w:val="24"/>
          <w:szCs w:val="24"/>
        </w:rPr>
        <w:t xml:space="preserve">Задълбочава се дисбалансът в териториалното разпределение на населението. </w:t>
      </w:r>
    </w:p>
    <w:p w:rsidR="005F2097" w:rsidRPr="00BD5BB8" w:rsidRDefault="005F2097" w:rsidP="005F2097">
      <w:pPr>
        <w:autoSpaceDE w:val="0"/>
        <w:autoSpaceDN w:val="0"/>
        <w:adjustRightInd w:val="0"/>
        <w:spacing w:after="0" w:line="240" w:lineRule="auto"/>
        <w:ind w:firstLine="601"/>
        <w:jc w:val="both"/>
        <w:rPr>
          <w:rFonts w:ascii="Times New Roman" w:hAnsi="Times New Roman" w:cs="Times New Roman"/>
          <w:sz w:val="24"/>
          <w:szCs w:val="24"/>
        </w:rPr>
      </w:pPr>
      <w:r w:rsidRPr="00BD5BB8">
        <w:rPr>
          <w:rFonts w:ascii="Times New Roman" w:hAnsi="Times New Roman" w:cs="Times New Roman"/>
          <w:color w:val="000000" w:themeColor="text1"/>
          <w:sz w:val="24"/>
          <w:szCs w:val="24"/>
        </w:rPr>
        <w:t xml:space="preserve">Намалява абсолютният брой на живороденитe деца и коефициента на обща раждаемост. </w:t>
      </w:r>
    </w:p>
    <w:p w:rsidR="005F2097" w:rsidRPr="00BD5BB8" w:rsidRDefault="005F2097" w:rsidP="00CD1353">
      <w:pPr>
        <w:autoSpaceDE w:val="0"/>
        <w:autoSpaceDN w:val="0"/>
        <w:adjustRightInd w:val="0"/>
        <w:spacing w:after="0" w:line="240" w:lineRule="auto"/>
        <w:ind w:firstLine="601"/>
        <w:jc w:val="both"/>
        <w:rPr>
          <w:rFonts w:ascii="Times New Roman" w:hAnsi="Times New Roman" w:cs="Times New Roman"/>
          <w:sz w:val="24"/>
          <w:szCs w:val="24"/>
        </w:rPr>
      </w:pPr>
      <w:r w:rsidRPr="00BD5BB8">
        <w:rPr>
          <w:rFonts w:ascii="Times New Roman" w:hAnsi="Times New Roman" w:cs="Times New Roman"/>
          <w:sz w:val="24"/>
          <w:szCs w:val="24"/>
        </w:rPr>
        <w:t>Най-значимата демографска тенденция в развитието на населението е процесът на застаряване. Средната възраст на населението в България е сред най-високите не само в Европейския съюз, но и в света. Средната възраст на населението нараства устойчиво, като от 40.4 години през 2001 г. достига 43.</w:t>
      </w:r>
      <w:r w:rsidR="00CD1353"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в края на 201</w:t>
      </w:r>
      <w:r w:rsidR="00CD1353"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През 201</w:t>
      </w:r>
      <w:r w:rsidR="00CD1353"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в резултат </w:t>
      </w:r>
      <w:r w:rsidRPr="00BD5BB8">
        <w:rPr>
          <w:rFonts w:ascii="Times New Roman" w:hAnsi="Times New Roman" w:cs="Times New Roman"/>
          <w:sz w:val="24"/>
          <w:szCs w:val="24"/>
        </w:rPr>
        <w:lastRenderedPageBreak/>
        <w:t xml:space="preserve">на отрицателния естествен прираст населението на страната е намаляло с </w:t>
      </w:r>
      <w:r w:rsidR="00CD1353" w:rsidRPr="00BD5BB8">
        <w:rPr>
          <w:rFonts w:ascii="Times New Roman" w:hAnsi="Times New Roman" w:cs="Times New Roman"/>
          <w:bCs/>
          <w:sz w:val="24"/>
          <w:szCs w:val="24"/>
        </w:rPr>
        <w:t>46 329 души.</w:t>
      </w:r>
      <w:r w:rsidR="00CD1353" w:rsidRPr="00BD5BB8">
        <w:rPr>
          <w:rFonts w:ascii="Times New Roman" w:hAnsi="Times New Roman" w:cs="Times New Roman"/>
          <w:b/>
          <w:bCs/>
          <w:sz w:val="24"/>
          <w:szCs w:val="24"/>
        </w:rPr>
        <w:t xml:space="preserve"> </w:t>
      </w:r>
      <w:r w:rsidR="002000F0" w:rsidRPr="00BD5BB8">
        <w:rPr>
          <w:rFonts w:ascii="Times New Roman" w:hAnsi="Times New Roman" w:cs="Times New Roman"/>
          <w:sz w:val="24"/>
          <w:szCs w:val="24"/>
        </w:rPr>
        <w:t>Средната продължителност на предстоящия живот</w:t>
      </w:r>
      <w:r w:rsidR="002000F0" w:rsidRPr="00BD5BB8">
        <w:rPr>
          <w:rStyle w:val="FootnoteReference"/>
          <w:rFonts w:ascii="Times New Roman" w:hAnsi="Times New Roman" w:cs="Times New Roman"/>
          <w:sz w:val="24"/>
          <w:szCs w:val="24"/>
        </w:rPr>
        <w:footnoteReference w:id="6"/>
      </w:r>
      <w:r w:rsidR="002000F0" w:rsidRPr="00BD5BB8">
        <w:rPr>
          <w:rFonts w:ascii="Times New Roman" w:hAnsi="Times New Roman" w:cs="Times New Roman"/>
          <w:sz w:val="24"/>
          <w:szCs w:val="24"/>
        </w:rPr>
        <w:t xml:space="preserve"> общо за населението на страната, изчислена за периода 2016 </w:t>
      </w:r>
      <w:r w:rsidR="00683FB4" w:rsidRPr="00BD5BB8">
        <w:rPr>
          <w:rFonts w:ascii="Times New Roman" w:hAnsi="Times New Roman" w:cs="Times New Roman"/>
          <w:sz w:val="24"/>
          <w:szCs w:val="24"/>
        </w:rPr>
        <w:t xml:space="preserve">– </w:t>
      </w:r>
      <w:r w:rsidR="002000F0" w:rsidRPr="00BD5BB8">
        <w:rPr>
          <w:rFonts w:ascii="Times New Roman" w:hAnsi="Times New Roman" w:cs="Times New Roman"/>
          <w:sz w:val="24"/>
          <w:szCs w:val="24"/>
        </w:rPr>
        <w:t xml:space="preserve">2018 г., е 74.8 години и спрямо предходния период (2015 </w:t>
      </w:r>
      <w:r w:rsidR="00683FB4" w:rsidRPr="00BD5BB8">
        <w:rPr>
          <w:rFonts w:ascii="Times New Roman" w:hAnsi="Times New Roman" w:cs="Times New Roman"/>
          <w:sz w:val="24"/>
          <w:szCs w:val="24"/>
        </w:rPr>
        <w:t xml:space="preserve">– </w:t>
      </w:r>
      <w:r w:rsidR="002000F0" w:rsidRPr="00BD5BB8">
        <w:rPr>
          <w:rFonts w:ascii="Times New Roman" w:hAnsi="Times New Roman" w:cs="Times New Roman"/>
          <w:sz w:val="24"/>
          <w:szCs w:val="24"/>
        </w:rPr>
        <w:t>2017 г.) остава непроменена.</w:t>
      </w:r>
      <w:r w:rsidRPr="00BD5BB8">
        <w:rPr>
          <w:rFonts w:ascii="Times New Roman" w:hAnsi="Times New Roman" w:cs="Times New Roman"/>
          <w:sz w:val="24"/>
          <w:szCs w:val="24"/>
        </w:rPr>
        <w:t xml:space="preserve"> Средната продължителност на живота при мъжете е 71.</w:t>
      </w:r>
      <w:r w:rsidR="00CD1353" w:rsidRPr="00BD5BB8">
        <w:rPr>
          <w:rFonts w:ascii="Times New Roman" w:hAnsi="Times New Roman" w:cs="Times New Roman"/>
          <w:sz w:val="24"/>
          <w:szCs w:val="24"/>
        </w:rPr>
        <w:t>4</w:t>
      </w:r>
      <w:r w:rsidRPr="00BD5BB8">
        <w:rPr>
          <w:rFonts w:ascii="Times New Roman" w:hAnsi="Times New Roman" w:cs="Times New Roman"/>
          <w:sz w:val="24"/>
          <w:szCs w:val="24"/>
        </w:rPr>
        <w:t xml:space="preserve"> години, докато при жените е със 7 години по-висока </w:t>
      </w:r>
      <w:r w:rsidR="00683FB4" w:rsidRPr="00BD5BB8">
        <w:rPr>
          <w:rFonts w:ascii="Times New Roman" w:hAnsi="Times New Roman" w:cs="Times New Roman"/>
          <w:sz w:val="24"/>
          <w:szCs w:val="24"/>
        </w:rPr>
        <w:t xml:space="preserve">– </w:t>
      </w:r>
      <w:r w:rsidRPr="00BD5BB8">
        <w:rPr>
          <w:rFonts w:ascii="Times New Roman" w:hAnsi="Times New Roman" w:cs="Times New Roman"/>
          <w:sz w:val="24"/>
          <w:szCs w:val="24"/>
        </w:rPr>
        <w:t>78.</w:t>
      </w:r>
      <w:r w:rsidR="00CD1353" w:rsidRPr="00BD5BB8">
        <w:rPr>
          <w:rFonts w:ascii="Times New Roman" w:hAnsi="Times New Roman" w:cs="Times New Roman"/>
          <w:sz w:val="24"/>
          <w:szCs w:val="24"/>
        </w:rPr>
        <w:t>4</w:t>
      </w:r>
      <w:r w:rsidRPr="00BD5BB8">
        <w:rPr>
          <w:rFonts w:ascii="Times New Roman" w:hAnsi="Times New Roman" w:cs="Times New Roman"/>
          <w:sz w:val="24"/>
          <w:szCs w:val="24"/>
        </w:rPr>
        <w:t xml:space="preserve"> години. Средната продължителност на предстоящия живот е с 2.9 години по-висока за населението в градовете (75.</w:t>
      </w:r>
      <w:r w:rsidR="00CD1353" w:rsidRPr="00BD5BB8">
        <w:rPr>
          <w:rFonts w:ascii="Times New Roman" w:hAnsi="Times New Roman" w:cs="Times New Roman"/>
          <w:sz w:val="24"/>
          <w:szCs w:val="24"/>
        </w:rPr>
        <w:t>7</w:t>
      </w:r>
      <w:r w:rsidRPr="00BD5BB8">
        <w:rPr>
          <w:rFonts w:ascii="Times New Roman" w:hAnsi="Times New Roman" w:cs="Times New Roman"/>
          <w:sz w:val="24"/>
          <w:szCs w:val="24"/>
        </w:rPr>
        <w:t xml:space="preserve"> години) отколкото за населението в селата (72.</w:t>
      </w:r>
      <w:r w:rsidR="00CD1353" w:rsidRPr="00BD5BB8">
        <w:rPr>
          <w:rFonts w:ascii="Times New Roman" w:hAnsi="Times New Roman" w:cs="Times New Roman"/>
          <w:sz w:val="24"/>
          <w:szCs w:val="24"/>
        </w:rPr>
        <w:t>8</w:t>
      </w:r>
      <w:r w:rsidRPr="00BD5BB8">
        <w:rPr>
          <w:rFonts w:ascii="Times New Roman" w:hAnsi="Times New Roman" w:cs="Times New Roman"/>
          <w:sz w:val="24"/>
          <w:szCs w:val="24"/>
        </w:rPr>
        <w:t xml:space="preserve"> години). </w:t>
      </w:r>
    </w:p>
    <w:p w:rsidR="005F2097" w:rsidRPr="00BD5BB8" w:rsidRDefault="005F2097" w:rsidP="005F2097">
      <w:pPr>
        <w:spacing w:after="0" w:line="240" w:lineRule="auto"/>
        <w:ind w:firstLine="680"/>
        <w:jc w:val="both"/>
        <w:rPr>
          <w:rFonts w:ascii="Times New Roman" w:hAnsi="Times New Roman" w:cs="Times New Roman"/>
          <w:sz w:val="24"/>
          <w:szCs w:val="24"/>
        </w:rPr>
      </w:pPr>
      <w:r w:rsidRPr="00BD5BB8">
        <w:rPr>
          <w:rFonts w:ascii="Times New Roman" w:hAnsi="Times New Roman" w:cs="Times New Roman"/>
          <w:sz w:val="24"/>
          <w:szCs w:val="24"/>
        </w:rPr>
        <w:t>Тревожна е тенденцията във възпроизводството на трудоспособното население. Съотношението между броя на влизащите в трудоспособна възраст (15-19 години) и броя на излизащите от трудоспособна възраст (60-64 години) показва, че към 31.12.201</w:t>
      </w:r>
      <w:r w:rsidR="00CD1353"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всеки 100 лица, излизащи от трудоспособна възраст са замествани от 6</w:t>
      </w:r>
      <w:r w:rsidR="00CD1353" w:rsidRPr="00BD5BB8">
        <w:rPr>
          <w:rFonts w:ascii="Times New Roman" w:hAnsi="Times New Roman" w:cs="Times New Roman"/>
          <w:sz w:val="24"/>
          <w:szCs w:val="24"/>
        </w:rPr>
        <w:t>6</w:t>
      </w:r>
      <w:r w:rsidRPr="00BD5BB8">
        <w:rPr>
          <w:rFonts w:ascii="Times New Roman" w:hAnsi="Times New Roman" w:cs="Times New Roman"/>
          <w:sz w:val="24"/>
          <w:szCs w:val="24"/>
        </w:rPr>
        <w:t xml:space="preserve"> влизащи в трудоспособна възраст. За сравнение, през 2001 г. 100 лица, излизащи от трудоспособна възраст, са били замествани от 124 млади хора.  </w:t>
      </w:r>
    </w:p>
    <w:p w:rsidR="00A35342" w:rsidRPr="00BD5BB8" w:rsidRDefault="004B6BAC" w:rsidP="005F2097">
      <w:pPr>
        <w:spacing w:after="0" w:line="240" w:lineRule="auto"/>
        <w:ind w:firstLine="680"/>
        <w:jc w:val="both"/>
        <w:rPr>
          <w:rFonts w:ascii="Times New Roman" w:hAnsi="Times New Roman" w:cs="Times New Roman"/>
          <w:color w:val="000000" w:themeColor="text1"/>
          <w:sz w:val="24"/>
          <w:szCs w:val="24"/>
        </w:rPr>
      </w:pPr>
      <w:r w:rsidRPr="00BD5BB8">
        <w:rPr>
          <w:rFonts w:ascii="Times New Roman" w:hAnsi="Times New Roman" w:cs="Times New Roman"/>
          <w:color w:val="000000" w:themeColor="text1"/>
          <w:sz w:val="24"/>
          <w:szCs w:val="24"/>
        </w:rPr>
        <w:t>Като положителни тенденции през 2018 г. могат да бъдат отбелязани намаляването на детската смъртност, намаляването на броят на умрелите лица и коефициентът на обща смъртност, задържането на очакваната средна продължителност на живота, задържането на тоталния коефициент на плодовитост на ниво, близко до средното за страните-членки на  Европейския съюз, увеличаването на броя на сключените бракове, подобряването на жизнения стандарт и качеството на живот.</w:t>
      </w:r>
    </w:p>
    <w:p w:rsidR="00A35342" w:rsidRPr="00BD5BB8" w:rsidRDefault="00A35342" w:rsidP="005F2097">
      <w:pPr>
        <w:spacing w:after="0" w:line="240" w:lineRule="auto"/>
        <w:ind w:firstLine="680"/>
        <w:jc w:val="both"/>
        <w:rPr>
          <w:rFonts w:ascii="Times New Roman" w:hAnsi="Times New Roman" w:cs="Times New Roman"/>
          <w:color w:val="000000" w:themeColor="text1"/>
          <w:sz w:val="24"/>
          <w:szCs w:val="24"/>
        </w:rPr>
      </w:pPr>
    </w:p>
    <w:p w:rsidR="005F2097" w:rsidRPr="00BD5BB8" w:rsidRDefault="005F2097" w:rsidP="005F2097">
      <w:pPr>
        <w:spacing w:after="0" w:line="240" w:lineRule="auto"/>
        <w:ind w:firstLine="680"/>
        <w:jc w:val="both"/>
        <w:rPr>
          <w:rFonts w:ascii="Times New Roman" w:hAnsi="Times New Roman" w:cs="Times New Roman"/>
          <w:color w:val="000000" w:themeColor="text1"/>
          <w:sz w:val="24"/>
          <w:szCs w:val="24"/>
        </w:rPr>
      </w:pPr>
      <w:r w:rsidRPr="00BD5BB8">
        <w:rPr>
          <w:rFonts w:ascii="Times New Roman" w:hAnsi="Times New Roman" w:cs="Times New Roman"/>
          <w:color w:val="000000" w:themeColor="text1"/>
          <w:sz w:val="24"/>
          <w:szCs w:val="24"/>
        </w:rPr>
        <w:t xml:space="preserve"> </w:t>
      </w:r>
    </w:p>
    <w:p w:rsidR="005F2097" w:rsidRPr="00BD5BB8" w:rsidRDefault="005F2097" w:rsidP="00E7186B">
      <w:pPr>
        <w:numPr>
          <w:ilvl w:val="2"/>
          <w:numId w:val="5"/>
        </w:numPr>
        <w:autoSpaceDE w:val="0"/>
        <w:autoSpaceDN w:val="0"/>
        <w:adjustRightInd w:val="0"/>
        <w:spacing w:after="0" w:line="240" w:lineRule="auto"/>
        <w:contextualSpacing/>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 xml:space="preserve">Брой на населението </w:t>
      </w:r>
    </w:p>
    <w:p w:rsidR="005F2097" w:rsidRPr="00BD5BB8" w:rsidRDefault="005F2097" w:rsidP="005F2097">
      <w:pPr>
        <w:autoSpaceDE w:val="0"/>
        <w:autoSpaceDN w:val="0"/>
        <w:adjustRightInd w:val="0"/>
        <w:spacing w:after="0" w:line="240" w:lineRule="auto"/>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ab/>
      </w:r>
    </w:p>
    <w:p w:rsidR="005F2097" w:rsidRPr="00BD5BB8" w:rsidRDefault="005F2097" w:rsidP="005F2097">
      <w:pPr>
        <w:autoSpaceDE w:val="0"/>
        <w:autoSpaceDN w:val="0"/>
        <w:adjustRightInd w:val="0"/>
        <w:spacing w:after="0" w:line="240" w:lineRule="auto"/>
        <w:ind w:firstLine="601"/>
        <w:jc w:val="both"/>
        <w:rPr>
          <w:rFonts w:ascii="Times New Roman" w:hAnsi="Times New Roman" w:cs="Times New Roman"/>
          <w:sz w:val="24"/>
          <w:szCs w:val="24"/>
        </w:rPr>
      </w:pPr>
      <w:r w:rsidRPr="00BD5BB8">
        <w:rPr>
          <w:rFonts w:ascii="Times New Roman" w:hAnsi="Times New Roman" w:cs="Times New Roman"/>
          <w:sz w:val="24"/>
          <w:szCs w:val="24"/>
        </w:rPr>
        <w:t xml:space="preserve">Основните фактори, които влияят върху измененията в броя и структурите на населението са демографските процеси - раждаемост, смъртност и миграция. </w:t>
      </w:r>
    </w:p>
    <w:p w:rsidR="005F2097" w:rsidRPr="00BD5BB8" w:rsidRDefault="005F2097" w:rsidP="005F2097">
      <w:pPr>
        <w:autoSpaceDE w:val="0"/>
        <w:autoSpaceDN w:val="0"/>
        <w:adjustRightInd w:val="0"/>
        <w:spacing w:after="0" w:line="240" w:lineRule="auto"/>
        <w:ind w:firstLine="601"/>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Броят и структурите на населението се определят от размерите и интензивността на неговото естествено и механично (миграционно) движение. </w:t>
      </w:r>
    </w:p>
    <w:p w:rsidR="005F2097" w:rsidRPr="00BD5BB8" w:rsidRDefault="005F2097" w:rsidP="005F2097">
      <w:pPr>
        <w:autoSpaceDE w:val="0"/>
        <w:autoSpaceDN w:val="0"/>
        <w:adjustRightInd w:val="0"/>
        <w:spacing w:after="0" w:line="240" w:lineRule="auto"/>
        <w:ind w:firstLine="601"/>
        <w:jc w:val="both"/>
        <w:rPr>
          <w:rFonts w:ascii="Times New Roman" w:hAnsi="Times New Roman" w:cs="Times New Roman"/>
          <w:b/>
          <w:sz w:val="24"/>
          <w:szCs w:val="24"/>
        </w:rPr>
      </w:pPr>
      <w:r w:rsidRPr="00BD5BB8">
        <w:rPr>
          <w:rFonts w:ascii="Times New Roman" w:hAnsi="Times New Roman" w:cs="Times New Roman"/>
          <w:b/>
          <w:sz w:val="24"/>
          <w:szCs w:val="24"/>
        </w:rPr>
        <w:t>През 201</w:t>
      </w:r>
      <w:r w:rsidR="004B6BAC" w:rsidRPr="00BD5BB8">
        <w:rPr>
          <w:rFonts w:ascii="Times New Roman" w:hAnsi="Times New Roman" w:cs="Times New Roman"/>
          <w:b/>
          <w:sz w:val="24"/>
          <w:szCs w:val="24"/>
        </w:rPr>
        <w:t>8</w:t>
      </w:r>
      <w:r w:rsidRPr="00BD5BB8">
        <w:rPr>
          <w:rFonts w:ascii="Times New Roman" w:hAnsi="Times New Roman" w:cs="Times New Roman"/>
          <w:b/>
          <w:sz w:val="24"/>
          <w:szCs w:val="24"/>
        </w:rPr>
        <w:t xml:space="preserve"> г. населението в България продължава да намалява. </w:t>
      </w:r>
    </w:p>
    <w:p w:rsidR="005F2097" w:rsidRPr="00BD5BB8" w:rsidRDefault="005F2097" w:rsidP="004B6BAC">
      <w:pPr>
        <w:autoSpaceDE w:val="0"/>
        <w:autoSpaceDN w:val="0"/>
        <w:adjustRightInd w:val="0"/>
        <w:spacing w:after="0" w:line="240" w:lineRule="auto"/>
        <w:ind w:firstLine="601"/>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bCs/>
          <w:sz w:val="24"/>
          <w:szCs w:val="24"/>
          <w:lang w:eastAsia="bg-BG"/>
        </w:rPr>
        <w:t>По данни на НСИ към 31 декември 201</w:t>
      </w:r>
      <w:r w:rsidR="004B6BAC" w:rsidRPr="00BD5BB8">
        <w:rPr>
          <w:rFonts w:ascii="Times New Roman" w:eastAsia="Times New Roman" w:hAnsi="Times New Roman" w:cs="Times New Roman"/>
          <w:b/>
          <w:bCs/>
          <w:sz w:val="24"/>
          <w:szCs w:val="24"/>
          <w:lang w:eastAsia="bg-BG"/>
        </w:rPr>
        <w:t>8</w:t>
      </w:r>
      <w:r w:rsidRPr="00BD5BB8">
        <w:rPr>
          <w:rFonts w:ascii="Times New Roman" w:eastAsia="Times New Roman" w:hAnsi="Times New Roman" w:cs="Times New Roman"/>
          <w:b/>
          <w:bCs/>
          <w:sz w:val="24"/>
          <w:szCs w:val="24"/>
          <w:lang w:eastAsia="bg-BG"/>
        </w:rPr>
        <w:t xml:space="preserve"> г. населението на България е 7 </w:t>
      </w:r>
      <w:r w:rsidR="004B6BAC" w:rsidRPr="00BD5BB8">
        <w:rPr>
          <w:rFonts w:ascii="Times New Roman" w:eastAsia="Times New Roman" w:hAnsi="Times New Roman" w:cs="Times New Roman"/>
          <w:b/>
          <w:bCs/>
          <w:sz w:val="24"/>
          <w:szCs w:val="24"/>
          <w:lang w:eastAsia="bg-BG"/>
        </w:rPr>
        <w:t>000</w:t>
      </w:r>
      <w:r w:rsidRPr="00BD5BB8">
        <w:rPr>
          <w:rFonts w:ascii="Times New Roman" w:eastAsia="Times New Roman" w:hAnsi="Times New Roman" w:cs="Times New Roman"/>
          <w:b/>
          <w:bCs/>
          <w:sz w:val="24"/>
          <w:szCs w:val="24"/>
          <w:lang w:eastAsia="bg-BG"/>
        </w:rPr>
        <w:t xml:space="preserve"> </w:t>
      </w:r>
      <w:r w:rsidR="004B6BAC" w:rsidRPr="00BD5BB8">
        <w:rPr>
          <w:rFonts w:ascii="Times New Roman" w:eastAsia="Times New Roman" w:hAnsi="Times New Roman" w:cs="Times New Roman"/>
          <w:b/>
          <w:bCs/>
          <w:sz w:val="24"/>
          <w:szCs w:val="24"/>
          <w:lang w:eastAsia="bg-BG"/>
        </w:rPr>
        <w:t>093</w:t>
      </w:r>
      <w:r w:rsidRPr="00BD5BB8">
        <w:rPr>
          <w:rFonts w:ascii="Times New Roman" w:eastAsia="Times New Roman" w:hAnsi="Times New Roman" w:cs="Times New Roman"/>
          <w:b/>
          <w:bCs/>
          <w:sz w:val="24"/>
          <w:szCs w:val="24"/>
          <w:lang w:eastAsia="bg-BG"/>
        </w:rPr>
        <w:t xml:space="preserve"> души, </w:t>
      </w:r>
      <w:r w:rsidRPr="00BD5BB8">
        <w:rPr>
          <w:rFonts w:ascii="Times New Roman" w:eastAsia="Times New Roman" w:hAnsi="Times New Roman" w:cs="Times New Roman"/>
          <w:sz w:val="24"/>
          <w:szCs w:val="24"/>
          <w:lang w:eastAsia="bg-BG"/>
        </w:rPr>
        <w:t>което представлява 1.4% от населението на Европейския съюз</w:t>
      </w:r>
      <w:r w:rsidR="004B6BAC" w:rsidRPr="00BD5BB8">
        <w:rPr>
          <w:rStyle w:val="FootnoteReference"/>
          <w:rFonts w:ascii="Times New Roman" w:eastAsia="Times New Roman" w:hAnsi="Times New Roman" w:cs="Times New Roman"/>
          <w:sz w:val="24"/>
          <w:szCs w:val="24"/>
          <w:lang w:eastAsia="bg-BG"/>
        </w:rPr>
        <w:footnoteReference w:id="7"/>
      </w:r>
      <w:r w:rsidRPr="00BD5BB8">
        <w:rPr>
          <w:rFonts w:ascii="Times New Roman" w:eastAsia="Times New Roman" w:hAnsi="Times New Roman" w:cs="Times New Roman"/>
          <w:sz w:val="24"/>
          <w:szCs w:val="24"/>
          <w:lang w:eastAsia="bg-BG"/>
        </w:rPr>
        <w:t>. В сравнение с 201</w:t>
      </w:r>
      <w:r w:rsidR="004B6BAC" w:rsidRPr="00BD5BB8">
        <w:rPr>
          <w:rFonts w:ascii="Times New Roman" w:eastAsia="Times New Roman" w:hAnsi="Times New Roman" w:cs="Times New Roman"/>
          <w:sz w:val="24"/>
          <w:szCs w:val="24"/>
          <w:lang w:eastAsia="bg-BG"/>
        </w:rPr>
        <w:t>7</w:t>
      </w:r>
      <w:r w:rsidRPr="00BD5BB8">
        <w:rPr>
          <w:rFonts w:ascii="Times New Roman" w:eastAsia="Times New Roman" w:hAnsi="Times New Roman" w:cs="Times New Roman"/>
          <w:sz w:val="24"/>
          <w:szCs w:val="24"/>
          <w:lang w:eastAsia="bg-BG"/>
        </w:rPr>
        <w:t xml:space="preserve"> г. населението на страната намалява с</w:t>
      </w:r>
      <w:r w:rsidR="004B6BAC" w:rsidRPr="00BD5BB8">
        <w:rPr>
          <w:rFonts w:ascii="Times New Roman" w:eastAsia="Times New Roman" w:hAnsi="Times New Roman" w:cs="Times New Roman"/>
          <w:sz w:val="24"/>
          <w:szCs w:val="24"/>
          <w:lang w:eastAsia="bg-BG"/>
        </w:rPr>
        <w:t xml:space="preserve"> 49 995 души, или с 0.7%.</w:t>
      </w:r>
    </w:p>
    <w:p w:rsidR="005F2097" w:rsidRPr="00BD5BB8" w:rsidRDefault="005F2097" w:rsidP="005F2097">
      <w:pPr>
        <w:autoSpaceDE w:val="0"/>
        <w:autoSpaceDN w:val="0"/>
        <w:adjustRightInd w:val="0"/>
        <w:spacing w:after="0" w:line="240" w:lineRule="auto"/>
        <w:ind w:firstLine="601"/>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bCs/>
          <w:sz w:val="24"/>
          <w:szCs w:val="24"/>
          <w:lang w:eastAsia="bg-BG"/>
        </w:rPr>
        <w:t>През 201</w:t>
      </w:r>
      <w:r w:rsidR="004B6BAC" w:rsidRPr="00BD5BB8">
        <w:rPr>
          <w:rFonts w:ascii="Times New Roman" w:eastAsia="Times New Roman" w:hAnsi="Times New Roman" w:cs="Times New Roman"/>
          <w:b/>
          <w:bCs/>
          <w:sz w:val="24"/>
          <w:szCs w:val="24"/>
          <w:lang w:eastAsia="bg-BG"/>
        </w:rPr>
        <w:t>8</w:t>
      </w:r>
      <w:r w:rsidRPr="00BD5BB8">
        <w:rPr>
          <w:rFonts w:ascii="Times New Roman" w:eastAsia="Times New Roman" w:hAnsi="Times New Roman" w:cs="Times New Roman"/>
          <w:b/>
          <w:bCs/>
          <w:sz w:val="24"/>
          <w:szCs w:val="24"/>
          <w:lang w:eastAsia="bg-BG"/>
        </w:rPr>
        <w:t xml:space="preserve"> г. в резултат на отрицателния естествен прираст населението на страната е намаляло с </w:t>
      </w:r>
      <w:r w:rsidR="004B6BAC" w:rsidRPr="00BD5BB8">
        <w:rPr>
          <w:rFonts w:ascii="Times New Roman" w:eastAsia="Times New Roman" w:hAnsi="Times New Roman" w:cs="Times New Roman"/>
          <w:b/>
          <w:bCs/>
          <w:sz w:val="24"/>
          <w:szCs w:val="24"/>
          <w:lang w:eastAsia="bg-BG"/>
        </w:rPr>
        <w:t xml:space="preserve">46 329 </w:t>
      </w:r>
      <w:r w:rsidRPr="00BD5BB8">
        <w:rPr>
          <w:rFonts w:ascii="Times New Roman" w:eastAsia="Times New Roman" w:hAnsi="Times New Roman" w:cs="Times New Roman"/>
          <w:b/>
          <w:bCs/>
          <w:sz w:val="24"/>
          <w:szCs w:val="24"/>
          <w:lang w:eastAsia="bg-BG"/>
        </w:rPr>
        <w:t xml:space="preserve">души. </w:t>
      </w:r>
    </w:p>
    <w:p w:rsidR="005F2097" w:rsidRPr="00BD5BB8" w:rsidRDefault="005F2097" w:rsidP="005F2097">
      <w:pPr>
        <w:autoSpaceDE w:val="0"/>
        <w:autoSpaceDN w:val="0"/>
        <w:adjustRightInd w:val="0"/>
        <w:spacing w:after="0" w:line="240" w:lineRule="auto"/>
        <w:ind w:firstLine="601"/>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Съществено влияние върху броя и структурите на населението в страната оказва и </w:t>
      </w:r>
      <w:r w:rsidRPr="00BD5BB8">
        <w:rPr>
          <w:rFonts w:ascii="Times New Roman" w:eastAsia="Times New Roman" w:hAnsi="Times New Roman" w:cs="Times New Roman"/>
          <w:b/>
          <w:sz w:val="24"/>
          <w:szCs w:val="24"/>
          <w:lang w:eastAsia="bg-BG"/>
        </w:rPr>
        <w:t>механичният прираст</w:t>
      </w:r>
      <w:r w:rsidRPr="00BD5BB8">
        <w:rPr>
          <w:rFonts w:ascii="Times New Roman" w:eastAsia="Times New Roman" w:hAnsi="Times New Roman" w:cs="Times New Roman"/>
          <w:sz w:val="24"/>
          <w:szCs w:val="24"/>
          <w:lang w:eastAsia="bg-BG"/>
        </w:rPr>
        <w:t xml:space="preserve"> (нетното салдо от външната миграция), който подобно на естествения прираст, </w:t>
      </w:r>
      <w:r w:rsidRPr="00BD5BB8">
        <w:rPr>
          <w:rFonts w:ascii="Times New Roman" w:eastAsia="Times New Roman" w:hAnsi="Times New Roman" w:cs="Times New Roman"/>
          <w:b/>
          <w:sz w:val="24"/>
          <w:szCs w:val="24"/>
          <w:lang w:eastAsia="bg-BG"/>
        </w:rPr>
        <w:t xml:space="preserve">също е отрицателен - минус </w:t>
      </w:r>
      <w:r w:rsidR="004B6BAC" w:rsidRPr="00BD5BB8">
        <w:rPr>
          <w:rFonts w:ascii="Times New Roman" w:eastAsia="Times New Roman" w:hAnsi="Times New Roman" w:cs="Times New Roman"/>
          <w:b/>
          <w:sz w:val="24"/>
          <w:szCs w:val="24"/>
          <w:lang w:eastAsia="bg-BG"/>
        </w:rPr>
        <w:t>3 666 души</w:t>
      </w:r>
      <w:r w:rsidRPr="00BD5BB8">
        <w:rPr>
          <w:rFonts w:ascii="Times New Roman" w:eastAsia="Times New Roman" w:hAnsi="Times New Roman" w:cs="Times New Roman"/>
          <w:sz w:val="24"/>
          <w:szCs w:val="24"/>
          <w:lang w:eastAsia="bg-BG"/>
        </w:rPr>
        <w:t xml:space="preserve">. Той се формира като разлика между броя на заселилите се и изселилите се от страната. </w:t>
      </w:r>
    </w:p>
    <w:p w:rsidR="005F2097" w:rsidRPr="00BD5BB8" w:rsidRDefault="005F2097" w:rsidP="005F2097">
      <w:pPr>
        <w:autoSpaceDE w:val="0"/>
        <w:autoSpaceDN w:val="0"/>
        <w:adjustRightInd w:val="0"/>
        <w:spacing w:after="0" w:line="240" w:lineRule="auto"/>
        <w:ind w:firstLine="601"/>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Намалението на населението в резултат на външната миграция, измерено чрез </w:t>
      </w:r>
      <w:r w:rsidRPr="00BD5BB8">
        <w:rPr>
          <w:rFonts w:ascii="Times New Roman" w:eastAsia="Times New Roman" w:hAnsi="Times New Roman" w:cs="Times New Roman"/>
          <w:b/>
          <w:bCs/>
          <w:sz w:val="24"/>
          <w:szCs w:val="24"/>
          <w:lang w:eastAsia="bg-BG"/>
        </w:rPr>
        <w:t>коефициента на нетна миграция</w:t>
      </w:r>
      <w:r w:rsidRPr="00BD5BB8">
        <w:rPr>
          <w:rFonts w:ascii="Times New Roman" w:eastAsia="Times New Roman" w:hAnsi="Times New Roman" w:cs="Times New Roman"/>
          <w:sz w:val="24"/>
          <w:szCs w:val="24"/>
          <w:lang w:eastAsia="bg-BG"/>
        </w:rPr>
        <w:t>, е -</w:t>
      </w:r>
      <w:r w:rsidR="004B6BAC" w:rsidRPr="00BD5BB8">
        <w:rPr>
          <w:rFonts w:ascii="Times New Roman" w:eastAsia="Times New Roman" w:hAnsi="Times New Roman" w:cs="Times New Roman"/>
          <w:sz w:val="24"/>
          <w:szCs w:val="24"/>
          <w:lang w:eastAsia="bg-BG"/>
        </w:rPr>
        <w:t>0</w:t>
      </w:r>
      <w:r w:rsidRPr="00BD5BB8">
        <w:rPr>
          <w:rFonts w:ascii="Times New Roman" w:eastAsia="Times New Roman" w:hAnsi="Times New Roman" w:cs="Times New Roman"/>
          <w:sz w:val="24"/>
          <w:szCs w:val="24"/>
          <w:lang w:eastAsia="bg-BG"/>
        </w:rPr>
        <w:t>.</w:t>
      </w:r>
      <w:r w:rsidR="004B6BAC" w:rsidRPr="00BD5BB8">
        <w:rPr>
          <w:rFonts w:ascii="Times New Roman" w:eastAsia="Times New Roman" w:hAnsi="Times New Roman" w:cs="Times New Roman"/>
          <w:sz w:val="24"/>
          <w:szCs w:val="24"/>
          <w:lang w:eastAsia="bg-BG"/>
        </w:rPr>
        <w:t>5</w:t>
      </w:r>
      <w:r w:rsidRPr="00BD5BB8">
        <w:rPr>
          <w:rFonts w:ascii="Times New Roman" w:eastAsia="Times New Roman" w:hAnsi="Times New Roman" w:cs="Times New Roman"/>
          <w:sz w:val="24"/>
          <w:szCs w:val="24"/>
          <w:lang w:eastAsia="bg-BG"/>
        </w:rPr>
        <w:t>‰</w:t>
      </w:r>
      <w:r w:rsidRPr="00BD5BB8">
        <w:rPr>
          <w:rFonts w:ascii="Times New Roman" w:eastAsiaTheme="majorEastAsia" w:hAnsi="Times New Roman" w:cs="Times New Roman"/>
          <w:sz w:val="24"/>
          <w:szCs w:val="24"/>
          <w:vertAlign w:val="superscript"/>
          <w:lang w:eastAsia="bg-BG"/>
        </w:rPr>
        <w:footnoteReference w:id="8"/>
      </w:r>
      <w:r w:rsidRPr="00BD5BB8">
        <w:rPr>
          <w:rFonts w:ascii="Times New Roman" w:eastAsia="Times New Roman" w:hAnsi="Times New Roman" w:cs="Times New Roman"/>
          <w:sz w:val="24"/>
          <w:szCs w:val="24"/>
          <w:lang w:eastAsia="bg-BG"/>
        </w:rPr>
        <w:t xml:space="preserve">. </w:t>
      </w:r>
    </w:p>
    <w:p w:rsidR="005F2097" w:rsidRPr="00BD5BB8" w:rsidRDefault="005F2097" w:rsidP="005F2097">
      <w:pPr>
        <w:autoSpaceDE w:val="0"/>
        <w:autoSpaceDN w:val="0"/>
        <w:adjustRightInd w:val="0"/>
        <w:spacing w:after="0" w:line="240" w:lineRule="auto"/>
        <w:ind w:firstLine="709"/>
        <w:jc w:val="both"/>
        <w:rPr>
          <w:rFonts w:ascii="Times New Roman" w:hAnsi="Times New Roman" w:cs="Times New Roman"/>
          <w:color w:val="C0504D" w:themeColor="accent2"/>
          <w:sz w:val="24"/>
          <w:szCs w:val="24"/>
        </w:rPr>
      </w:pPr>
      <w:r w:rsidRPr="00BD5BB8">
        <w:rPr>
          <w:rFonts w:ascii="Times New Roman" w:hAnsi="Times New Roman" w:cs="Times New Roman"/>
          <w:sz w:val="24"/>
          <w:szCs w:val="24"/>
        </w:rPr>
        <w:t>Подобно на предходната 201</w:t>
      </w:r>
      <w:r w:rsidR="004B6BAC" w:rsidRPr="00BD5BB8">
        <w:rPr>
          <w:rFonts w:ascii="Times New Roman" w:hAnsi="Times New Roman" w:cs="Times New Roman"/>
          <w:sz w:val="24"/>
          <w:szCs w:val="24"/>
        </w:rPr>
        <w:t>7</w:t>
      </w:r>
      <w:r w:rsidRPr="00BD5BB8">
        <w:rPr>
          <w:rFonts w:ascii="Times New Roman" w:hAnsi="Times New Roman" w:cs="Times New Roman"/>
          <w:sz w:val="24"/>
          <w:szCs w:val="24"/>
        </w:rPr>
        <w:t xml:space="preserve"> година намалението на населението през 201</w:t>
      </w:r>
      <w:r w:rsidR="004B6BAC" w:rsidRPr="00BD5BB8">
        <w:rPr>
          <w:rFonts w:ascii="Times New Roman" w:hAnsi="Times New Roman" w:cs="Times New Roman"/>
          <w:sz w:val="24"/>
          <w:szCs w:val="24"/>
        </w:rPr>
        <w:t>8</w:t>
      </w:r>
      <w:r w:rsidRPr="00BD5BB8">
        <w:rPr>
          <w:rFonts w:ascii="Times New Roman" w:hAnsi="Times New Roman" w:cs="Times New Roman"/>
          <w:sz w:val="24"/>
          <w:szCs w:val="24"/>
        </w:rPr>
        <w:t xml:space="preserve"> г. в България се дължи главно на отрицателен естествен прираст, а не на външна миграция </w:t>
      </w:r>
      <w:r w:rsidR="00683FB4"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в резултат на </w:t>
      </w:r>
      <w:r w:rsidRPr="00BD5BB8">
        <w:rPr>
          <w:rFonts w:ascii="Times New Roman" w:hAnsi="Times New Roman" w:cs="Times New Roman"/>
          <w:b/>
          <w:sz w:val="24"/>
          <w:szCs w:val="24"/>
        </w:rPr>
        <w:t xml:space="preserve">отрицателния естествен прираст населението намалява с </w:t>
      </w:r>
      <w:r w:rsidRPr="00BD5BB8">
        <w:rPr>
          <w:rFonts w:ascii="Times New Roman" w:hAnsi="Times New Roman" w:cs="Times New Roman"/>
          <w:b/>
          <w:bCs/>
          <w:sz w:val="24"/>
          <w:szCs w:val="24"/>
        </w:rPr>
        <w:t>42 596 души</w:t>
      </w:r>
      <w:r w:rsidRPr="00BD5BB8">
        <w:rPr>
          <w:rFonts w:ascii="Times New Roman" w:hAnsi="Times New Roman" w:cs="Times New Roman"/>
          <w:bCs/>
          <w:sz w:val="24"/>
          <w:szCs w:val="24"/>
        </w:rPr>
        <w:t>, а в резултат на</w:t>
      </w:r>
      <w:r w:rsidRPr="00BD5BB8">
        <w:rPr>
          <w:rFonts w:ascii="Times New Roman" w:hAnsi="Times New Roman" w:cs="Times New Roman"/>
          <w:sz w:val="24"/>
          <w:szCs w:val="24"/>
        </w:rPr>
        <w:t xml:space="preserve"> механичния прираст (нетното салдо от външната миграция) – с още </w:t>
      </w:r>
      <w:r w:rsidR="004B6BAC" w:rsidRPr="00BD5BB8">
        <w:rPr>
          <w:rFonts w:ascii="Times New Roman" w:hAnsi="Times New Roman" w:cs="Times New Roman"/>
          <w:b/>
          <w:sz w:val="24"/>
          <w:szCs w:val="24"/>
        </w:rPr>
        <w:t xml:space="preserve">3 666 </w:t>
      </w:r>
      <w:r w:rsidRPr="00BD5BB8">
        <w:rPr>
          <w:rFonts w:ascii="Times New Roman" w:hAnsi="Times New Roman" w:cs="Times New Roman"/>
          <w:sz w:val="24"/>
          <w:szCs w:val="24"/>
        </w:rPr>
        <w:t>души</w:t>
      </w:r>
      <w:r w:rsidRPr="00BD5BB8">
        <w:rPr>
          <w:rFonts w:ascii="Times New Roman" w:hAnsi="Times New Roman" w:cs="Times New Roman"/>
          <w:color w:val="C0504D" w:themeColor="accent2"/>
          <w:sz w:val="24"/>
          <w:szCs w:val="24"/>
        </w:rPr>
        <w:t>.</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b/>
          <w:sz w:val="24"/>
          <w:szCs w:val="24"/>
          <w:lang w:eastAsia="bg-BG"/>
        </w:rPr>
        <w:lastRenderedPageBreak/>
        <w:t>Очаква се до 2050 г. населението на България да намалее до 5.</w:t>
      </w:r>
      <w:r w:rsidR="001177B8" w:rsidRPr="00BD5BB8">
        <w:rPr>
          <w:rFonts w:ascii="Times New Roman" w:eastAsiaTheme="minorEastAsia" w:hAnsi="Times New Roman" w:cs="Times New Roman"/>
          <w:b/>
          <w:sz w:val="24"/>
          <w:szCs w:val="24"/>
          <w:lang w:eastAsia="bg-BG"/>
        </w:rPr>
        <w:t>6</w:t>
      </w:r>
      <w:r w:rsidRPr="00BD5BB8">
        <w:rPr>
          <w:rFonts w:ascii="Times New Roman" w:eastAsiaTheme="minorEastAsia" w:hAnsi="Times New Roman" w:cs="Times New Roman"/>
          <w:b/>
          <w:sz w:val="24"/>
          <w:szCs w:val="24"/>
          <w:lang w:eastAsia="bg-BG"/>
        </w:rPr>
        <w:t xml:space="preserve"> милиона по данни на Евростат</w:t>
      </w:r>
      <w:r w:rsidR="001177B8" w:rsidRPr="00BD5BB8">
        <w:rPr>
          <w:rStyle w:val="FootnoteReference"/>
          <w:rFonts w:ascii="Times New Roman" w:eastAsiaTheme="minorEastAsia" w:hAnsi="Times New Roman" w:cs="Times New Roman"/>
          <w:b/>
          <w:sz w:val="24"/>
          <w:szCs w:val="24"/>
          <w:lang w:eastAsia="bg-BG"/>
        </w:rPr>
        <w:footnoteReference w:id="9"/>
      </w:r>
      <w:r w:rsidRPr="00BD5BB8">
        <w:rPr>
          <w:rFonts w:ascii="Times New Roman" w:eastAsiaTheme="minorEastAsia" w:hAnsi="Times New Roman" w:cs="Times New Roman"/>
          <w:b/>
          <w:sz w:val="24"/>
          <w:szCs w:val="24"/>
          <w:lang w:eastAsia="bg-BG"/>
        </w:rPr>
        <w:t xml:space="preserve"> и до 5.5 милиона според прогнозите на Отдела за населението на ООН.</w:t>
      </w:r>
      <w:r w:rsidRPr="00BD5BB8">
        <w:rPr>
          <w:rFonts w:ascii="Times New Roman" w:eastAsiaTheme="minorEastAsia" w:hAnsi="Times New Roman" w:cs="Times New Roman"/>
          <w:sz w:val="24"/>
          <w:szCs w:val="24"/>
          <w:vertAlign w:val="superscript"/>
          <w:lang w:eastAsia="bg-BG"/>
        </w:rPr>
        <w:footnoteReference w:id="10"/>
      </w:r>
      <w:r w:rsidRPr="00BD5BB8">
        <w:rPr>
          <w:rFonts w:ascii="Times New Roman" w:eastAsiaTheme="minorEastAsia" w:hAnsi="Times New Roman" w:cs="Times New Roman"/>
          <w:sz w:val="24"/>
          <w:szCs w:val="24"/>
          <w:lang w:eastAsia="bg-BG"/>
        </w:rPr>
        <w:t xml:space="preserve"> </w:t>
      </w:r>
      <w:r w:rsidRPr="00BD5BB8">
        <w:rPr>
          <w:rFonts w:ascii="Times New Roman" w:eastAsiaTheme="minorEastAsia" w:hAnsi="Times New Roman" w:cs="Times New Roman"/>
          <w:b/>
          <w:sz w:val="24"/>
          <w:szCs w:val="24"/>
          <w:lang w:eastAsia="bg-BG"/>
        </w:rPr>
        <w:t>Този спад се развива успоредно с големи промени във възрастовата структура на населението, чийто двигател са промените в раждаемостта, смъртността и миграциите</w:t>
      </w:r>
      <w:r w:rsidRPr="00BD5BB8">
        <w:rPr>
          <w:rFonts w:ascii="Times New Roman" w:eastAsiaTheme="minorEastAsia" w:hAnsi="Times New Roman" w:cs="Times New Roman"/>
          <w:sz w:val="24"/>
          <w:szCs w:val="24"/>
          <w:lang w:eastAsia="bg-BG"/>
        </w:rPr>
        <w:t>.</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E7186B">
      <w:pPr>
        <w:numPr>
          <w:ilvl w:val="2"/>
          <w:numId w:val="5"/>
        </w:numPr>
        <w:spacing w:after="0" w:line="240" w:lineRule="auto"/>
        <w:contextualSpacing/>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Раждаемост</w:t>
      </w:r>
    </w:p>
    <w:p w:rsidR="005F2097" w:rsidRPr="00BD5BB8" w:rsidRDefault="005F2097" w:rsidP="005F2097">
      <w:pPr>
        <w:spacing w:after="0" w:line="240" w:lineRule="auto"/>
        <w:jc w:val="center"/>
        <w:rPr>
          <w:rFonts w:ascii="Times New Roman" w:hAnsi="Times New Roman" w:cs="Times New Roman"/>
          <w:b/>
          <w:bCs/>
          <w:caps/>
          <w:sz w:val="24"/>
          <w:szCs w:val="24"/>
        </w:rPr>
      </w:pPr>
    </w:p>
    <w:p w:rsidR="00C17FC4" w:rsidRPr="00BD5BB8" w:rsidRDefault="004B6BAC" w:rsidP="00C17FC4">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През 2018 г. в страната са регистрирани 62 576 родени деца, като от тях </w:t>
      </w:r>
      <w:r w:rsidRPr="00BD5BB8">
        <w:rPr>
          <w:rFonts w:ascii="Times New Roman" w:eastAsia="Times New Roman" w:hAnsi="Times New Roman" w:cs="Times New Roman"/>
          <w:b/>
          <w:bCs/>
          <w:sz w:val="24"/>
          <w:szCs w:val="24"/>
          <w:lang w:eastAsia="bg-BG"/>
        </w:rPr>
        <w:t xml:space="preserve">62 197 (99.4%) са живородени. </w:t>
      </w:r>
      <w:r w:rsidRPr="00BD5BB8">
        <w:rPr>
          <w:rFonts w:ascii="Times New Roman" w:eastAsia="Times New Roman" w:hAnsi="Times New Roman" w:cs="Times New Roman"/>
          <w:sz w:val="24"/>
          <w:szCs w:val="24"/>
          <w:lang w:eastAsia="bg-BG"/>
        </w:rPr>
        <w:t xml:space="preserve">В сравнение с предходната година броят на живородените намалява с 1 758 деца, или с 2.7%. </w:t>
      </w:r>
    </w:p>
    <w:p w:rsidR="00C17FC4" w:rsidRPr="00BD5BB8" w:rsidRDefault="00C17FC4" w:rsidP="00C17FC4">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Коефициентът на обща раждаемост</w:t>
      </w:r>
      <w:r w:rsidRPr="00BD5BB8">
        <w:rPr>
          <w:rStyle w:val="FootnoteReference"/>
          <w:rFonts w:ascii="Times New Roman" w:eastAsia="Times New Roman" w:hAnsi="Times New Roman" w:cs="Times New Roman"/>
          <w:bCs/>
          <w:sz w:val="24"/>
          <w:szCs w:val="24"/>
          <w:lang w:eastAsia="bg-BG"/>
        </w:rPr>
        <w:footnoteReference w:id="11"/>
      </w:r>
      <w:r w:rsidRPr="00BD5BB8">
        <w:rPr>
          <w:rFonts w:ascii="Times New Roman" w:eastAsia="Times New Roman" w:hAnsi="Times New Roman" w:cs="Times New Roman"/>
          <w:bCs/>
          <w:sz w:val="24"/>
          <w:szCs w:val="24"/>
          <w:lang w:eastAsia="bg-BG"/>
        </w:rPr>
        <w:t xml:space="preserve"> </w:t>
      </w:r>
      <w:r w:rsidRPr="00BD5BB8">
        <w:rPr>
          <w:rFonts w:ascii="Times New Roman" w:eastAsia="Times New Roman" w:hAnsi="Times New Roman" w:cs="Times New Roman"/>
          <w:b/>
          <w:bCs/>
          <w:sz w:val="24"/>
          <w:szCs w:val="24"/>
          <w:lang w:eastAsia="bg-BG"/>
        </w:rPr>
        <w:t xml:space="preserve">през 2018 г. е 8.9‰, а през предходната 2017 г. - 9.0‰. </w:t>
      </w:r>
    </w:p>
    <w:p w:rsidR="004B6BAC" w:rsidRPr="00BD5BB8" w:rsidRDefault="004B6BAC" w:rsidP="00683FB4">
      <w:pPr>
        <w:autoSpaceDE w:val="0"/>
        <w:autoSpaceDN w:val="0"/>
        <w:adjustRightInd w:val="0"/>
        <w:spacing w:after="0" w:line="240" w:lineRule="auto"/>
        <w:ind w:firstLine="709"/>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Броят на живородените момчета (32 144) е с 2 091 по-голям от този на живородените момичета (30 053), или на 1 000 живородени момчета се падат 935 момичета. </w:t>
      </w:r>
    </w:p>
    <w:p w:rsidR="004B6BAC" w:rsidRPr="00BD5BB8" w:rsidRDefault="004B6BAC" w:rsidP="00683FB4">
      <w:pPr>
        <w:autoSpaceDE w:val="0"/>
        <w:autoSpaceDN w:val="0"/>
        <w:adjustRightInd w:val="0"/>
        <w:spacing w:after="0" w:line="240" w:lineRule="auto"/>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В градовете и селата живородени са съответно 46 877 и 15 320 деца, а коефициентът на раждаемост е 9.1‰ в градовете и 8.3‰ в селата. </w:t>
      </w:r>
    </w:p>
    <w:p w:rsidR="004B6BAC" w:rsidRPr="00BD5BB8" w:rsidRDefault="004B6BAC" w:rsidP="004B6BAC">
      <w:pPr>
        <w:spacing w:after="0" w:line="240" w:lineRule="auto"/>
        <w:ind w:firstLine="709"/>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В регионален аспект най-висока е раждаемостта в областите Сливен </w:t>
      </w:r>
      <w:r w:rsidR="00683FB4"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12.0‰, София (столица) и Ямбол </w:t>
      </w:r>
      <w:r w:rsidR="00683FB4"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по 9.8‰. В деветнадесет области раждаемостта е по-ниска от средната за страната, като най-ниски стойности се наблюдават в областите Смолян </w:t>
      </w:r>
      <w:r w:rsidR="00683FB4"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6.3‰, Габрово и Видин </w:t>
      </w:r>
      <w:r w:rsidR="00683FB4"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по 6.8‰. </w:t>
      </w:r>
    </w:p>
    <w:p w:rsidR="004B6BAC" w:rsidRPr="00BD5BB8" w:rsidRDefault="004B6BAC" w:rsidP="005F2097">
      <w:pPr>
        <w:autoSpaceDE w:val="0"/>
        <w:autoSpaceDN w:val="0"/>
        <w:adjustRightInd w:val="0"/>
        <w:spacing w:after="0" w:line="240" w:lineRule="auto"/>
        <w:ind w:firstLine="709"/>
        <w:jc w:val="both"/>
        <w:rPr>
          <w:rFonts w:ascii="Times New Roman" w:hAnsi="Times New Roman" w:cs="Times New Roman"/>
          <w:b/>
          <w:bCs/>
          <w:sz w:val="24"/>
          <w:szCs w:val="24"/>
        </w:rPr>
      </w:pPr>
      <w:r w:rsidRPr="00BD5BB8">
        <w:rPr>
          <w:rFonts w:ascii="Times New Roman" w:hAnsi="Times New Roman" w:cs="Times New Roman"/>
          <w:b/>
          <w:bCs/>
          <w:sz w:val="24"/>
          <w:szCs w:val="24"/>
        </w:rPr>
        <w:t xml:space="preserve">Коефициентът на раждаемост общо за ЕС-28 през 2017 г. е 9.9‰ по данни на Евростат. Най-високо равнище на раждаемост сред европейските страни има Ирландия </w:t>
      </w:r>
      <w:r w:rsidR="00683FB4" w:rsidRPr="00BD5BB8">
        <w:rPr>
          <w:rFonts w:ascii="Times New Roman" w:hAnsi="Times New Roman" w:cs="Times New Roman"/>
          <w:b/>
          <w:bCs/>
          <w:sz w:val="24"/>
          <w:szCs w:val="24"/>
        </w:rPr>
        <w:t xml:space="preserve">– </w:t>
      </w:r>
      <w:r w:rsidRPr="00BD5BB8">
        <w:rPr>
          <w:rFonts w:ascii="Times New Roman" w:hAnsi="Times New Roman" w:cs="Times New Roman"/>
          <w:b/>
          <w:bCs/>
          <w:sz w:val="24"/>
          <w:szCs w:val="24"/>
        </w:rPr>
        <w:t xml:space="preserve">12.9‰, следват Франция и Швеция </w:t>
      </w:r>
      <w:r w:rsidR="00683FB4" w:rsidRPr="00BD5BB8">
        <w:rPr>
          <w:rFonts w:ascii="Times New Roman" w:hAnsi="Times New Roman" w:cs="Times New Roman"/>
          <w:b/>
          <w:bCs/>
          <w:sz w:val="24"/>
          <w:szCs w:val="24"/>
        </w:rPr>
        <w:t xml:space="preserve">– </w:t>
      </w:r>
      <w:r w:rsidRPr="00BD5BB8">
        <w:rPr>
          <w:rFonts w:ascii="Times New Roman" w:hAnsi="Times New Roman" w:cs="Times New Roman"/>
          <w:b/>
          <w:bCs/>
          <w:sz w:val="24"/>
          <w:szCs w:val="24"/>
        </w:rPr>
        <w:t xml:space="preserve">по 11.5‰. С най-нисък коефициент на раждаемост в Европейския съюз е Италия </w:t>
      </w:r>
      <w:r w:rsidR="00683FB4" w:rsidRPr="00BD5BB8">
        <w:rPr>
          <w:rFonts w:ascii="Times New Roman" w:hAnsi="Times New Roman" w:cs="Times New Roman"/>
          <w:b/>
          <w:bCs/>
          <w:sz w:val="24"/>
          <w:szCs w:val="24"/>
        </w:rPr>
        <w:t xml:space="preserve">– </w:t>
      </w:r>
      <w:r w:rsidRPr="00BD5BB8">
        <w:rPr>
          <w:rFonts w:ascii="Times New Roman" w:hAnsi="Times New Roman" w:cs="Times New Roman"/>
          <w:b/>
          <w:bCs/>
          <w:sz w:val="24"/>
          <w:szCs w:val="24"/>
        </w:rPr>
        <w:t xml:space="preserve">7.6‰. </w:t>
      </w:r>
    </w:p>
    <w:p w:rsidR="00606EFF" w:rsidRPr="00BD5BB8" w:rsidRDefault="00606EFF" w:rsidP="00606EFF">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Броят на жените във фертилна възраст (15 </w:t>
      </w:r>
      <w:r w:rsidR="00683FB4"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49 навършени години) в страната, или размерът на родилните контингенти и тяхната плодовитост, оказва съществено влияние върху равнището на раждаемостта и определя характера на възпроизводството на населението. </w:t>
      </w:r>
    </w:p>
    <w:p w:rsidR="00606EFF" w:rsidRPr="00BD5BB8" w:rsidRDefault="00606EFF" w:rsidP="00606EFF">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Към 31.12.2018 г. броят на жените във фертилна възраст е 1 491 хил., като спрямо предходната година намалява с 26 хил., а спрямо 2011 г. </w:t>
      </w:r>
      <w:r w:rsidR="00683FB4"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със 159 хиляди. </w:t>
      </w:r>
    </w:p>
    <w:p w:rsidR="00606EFF" w:rsidRPr="00BD5BB8" w:rsidRDefault="00606EFF" w:rsidP="00606EFF">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През 2018 г. броят на децата, родени от майки под 18 години, е 3 073. Запазва се тенденцията на увеличаване на броя на децата, родени от жени на възраст 40 и повече навършени години </w:t>
      </w:r>
      <w:r w:rsidR="00683FB4"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от 2 108 през 2017 г. на 2 154 през 2018 година. </w:t>
      </w:r>
    </w:p>
    <w:p w:rsidR="00606EFF" w:rsidRPr="00BD5BB8" w:rsidRDefault="00606EFF" w:rsidP="00606EFF">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Половината (50.1%) от ражданията през 2018 г. са първи за майката, 37.1% </w:t>
      </w:r>
      <w:r w:rsidR="00683FB4"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втори, а 12.6% </w:t>
      </w:r>
      <w:r w:rsidR="00683FB4"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трети и от по-висока поредност. </w:t>
      </w:r>
    </w:p>
    <w:p w:rsidR="00606EFF" w:rsidRPr="00BD5BB8" w:rsidRDefault="00606EFF" w:rsidP="00606EFF">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Тоталният коефициент на плодовитост</w:t>
      </w:r>
      <w:r w:rsidR="00683FB4" w:rsidRPr="00BD5BB8">
        <w:rPr>
          <w:rStyle w:val="FootnoteReference"/>
          <w:rFonts w:ascii="Times New Roman" w:eastAsia="Times New Roman" w:hAnsi="Times New Roman" w:cs="Times New Roman"/>
          <w:sz w:val="20"/>
          <w:szCs w:val="20"/>
          <w:lang w:eastAsia="bg-BG"/>
        </w:rPr>
        <w:footnoteReference w:id="12"/>
      </w:r>
      <w:r w:rsidRPr="00BD5BB8">
        <w:rPr>
          <w:rFonts w:ascii="Times New Roman" w:eastAsia="Times New Roman" w:hAnsi="Times New Roman" w:cs="Times New Roman"/>
          <w:sz w:val="24"/>
          <w:szCs w:val="24"/>
          <w:lang w:eastAsia="bg-BG"/>
        </w:rPr>
        <w:t xml:space="preserve"> е един от основните показатели, характеризиращи плодовитостта на жените. </w:t>
      </w:r>
      <w:r w:rsidRPr="00BD5BB8">
        <w:rPr>
          <w:rFonts w:ascii="Times New Roman" w:eastAsia="Times New Roman" w:hAnsi="Times New Roman" w:cs="Times New Roman"/>
          <w:b/>
          <w:bCs/>
          <w:sz w:val="24"/>
          <w:szCs w:val="24"/>
          <w:lang w:eastAsia="bg-BG"/>
        </w:rPr>
        <w:t xml:space="preserve">През 2018 г. средният брой живородени деца от една жена е 1.56 </w:t>
      </w:r>
      <w:r w:rsidRPr="00BD5BB8">
        <w:rPr>
          <w:rFonts w:ascii="Times New Roman" w:eastAsia="Times New Roman" w:hAnsi="Times New Roman" w:cs="Times New Roman"/>
          <w:sz w:val="24"/>
          <w:szCs w:val="24"/>
          <w:lang w:eastAsia="bg-BG"/>
        </w:rPr>
        <w:t xml:space="preserve">и спрямо 2017 г. остава непроменен. </w:t>
      </w:r>
    </w:p>
    <w:p w:rsidR="00606EFF" w:rsidRPr="00BD5BB8" w:rsidRDefault="00606EFF" w:rsidP="00606EF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Средната възраст на жените при раждане на първо дете се увеличава от 27.1 години през 2017 г. на 27.2 години през 2018 година. В регионален аспект средната възраст при раждане на първо дете варира от 30.2 години за област София (столица) до 23.0 години за област Сливен.</w:t>
      </w:r>
    </w:p>
    <w:p w:rsidR="00606EFF" w:rsidRPr="00BD5BB8" w:rsidRDefault="00606EFF" w:rsidP="00606EFF">
      <w:pPr>
        <w:spacing w:after="0" w:line="240" w:lineRule="auto"/>
        <w:ind w:firstLine="709"/>
        <w:contextualSpacing/>
        <w:rPr>
          <w:rFonts w:ascii="Times New Roman" w:eastAsia="Times New Roman" w:hAnsi="Times New Roman" w:cs="Times New Roman"/>
          <w:sz w:val="24"/>
          <w:szCs w:val="24"/>
          <w:lang w:eastAsia="bg-BG"/>
        </w:rPr>
      </w:pPr>
    </w:p>
    <w:p w:rsidR="005F2097" w:rsidRPr="00BD5BB8" w:rsidRDefault="005F2097" w:rsidP="00E7186B">
      <w:pPr>
        <w:numPr>
          <w:ilvl w:val="2"/>
          <w:numId w:val="5"/>
        </w:numPr>
        <w:spacing w:after="0" w:line="240" w:lineRule="auto"/>
        <w:contextualSpacing/>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Смъртност</w:t>
      </w:r>
    </w:p>
    <w:p w:rsidR="005F2097" w:rsidRPr="00BD5BB8" w:rsidRDefault="005F2097" w:rsidP="005F2097">
      <w:pPr>
        <w:spacing w:after="0" w:line="240" w:lineRule="auto"/>
        <w:jc w:val="center"/>
        <w:rPr>
          <w:rFonts w:ascii="Times New Roman" w:hAnsi="Times New Roman" w:cs="Times New Roman"/>
          <w:b/>
          <w:sz w:val="24"/>
          <w:szCs w:val="24"/>
        </w:rPr>
      </w:pPr>
    </w:p>
    <w:p w:rsidR="005F2097" w:rsidRPr="00BD5BB8" w:rsidRDefault="005E6632" w:rsidP="005F2097">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bCs/>
          <w:sz w:val="24"/>
          <w:szCs w:val="24"/>
          <w:lang w:eastAsia="bg-BG"/>
        </w:rPr>
        <w:t>Броят на умрелите лица през 2018 г. е 108 526, а коефициентът</w:t>
      </w:r>
      <w:r w:rsidR="00683FB4" w:rsidRPr="00BD5BB8">
        <w:rPr>
          <w:rStyle w:val="FootnoteReference"/>
          <w:rFonts w:ascii="Times New Roman" w:eastAsia="Times New Roman" w:hAnsi="Times New Roman" w:cs="Times New Roman"/>
          <w:bCs/>
          <w:sz w:val="18"/>
          <w:szCs w:val="18"/>
          <w:lang w:eastAsia="bg-BG"/>
        </w:rPr>
        <w:footnoteReference w:id="13"/>
      </w:r>
      <w:r w:rsidRPr="00BD5BB8">
        <w:rPr>
          <w:rFonts w:ascii="Times New Roman" w:eastAsia="Times New Roman" w:hAnsi="Times New Roman" w:cs="Times New Roman"/>
          <w:b/>
          <w:bCs/>
          <w:sz w:val="24"/>
          <w:szCs w:val="24"/>
          <w:lang w:eastAsia="bg-BG"/>
        </w:rPr>
        <w:t xml:space="preserve"> на обща смъртност - 15.4‰. Спрямо предходната година броят на умрелите намалява с 1 265, или с 1.2%. Нивото на общата смъртност</w:t>
      </w:r>
      <w:r w:rsidR="00B7253A" w:rsidRPr="00BD5BB8">
        <w:rPr>
          <w:rFonts w:ascii="Times New Roman" w:eastAsia="Times New Roman" w:hAnsi="Times New Roman" w:cs="Times New Roman"/>
          <w:b/>
          <w:bCs/>
          <w:sz w:val="24"/>
          <w:szCs w:val="24"/>
          <w:lang w:eastAsia="bg-BG"/>
        </w:rPr>
        <w:t xml:space="preserve"> продължава да е твърде високо.</w:t>
      </w:r>
    </w:p>
    <w:p w:rsidR="005E6632" w:rsidRPr="00BD5BB8" w:rsidRDefault="005E6632" w:rsidP="005E6632">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Смъртността сред мъжете (16.5‰) е по-висока в сравнение със смъртността сред жените (14.4‰). През 2018 г. на 1 000 жени умират 1 081 мъже. Продължават и силно изразените различия в смъртността сред градското и селското население. Коефициентът на смъртност е по-висок в селата (21.8‰) отколкото в градовете (13.2‰). </w:t>
      </w:r>
    </w:p>
    <w:p w:rsidR="005E6632" w:rsidRPr="00BD5BB8" w:rsidRDefault="005E6632" w:rsidP="005E6632">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bCs/>
          <w:sz w:val="24"/>
          <w:szCs w:val="24"/>
          <w:lang w:eastAsia="bg-BG"/>
        </w:rPr>
        <w:t>Общо за ЕС-28 коефициентът на смъртност през 2017 г. е 10.3‰.</w:t>
      </w:r>
      <w:r w:rsidRPr="00BD5BB8">
        <w:rPr>
          <w:rFonts w:ascii="Times New Roman" w:hAnsi="Times New Roman" w:cs="Times New Roman"/>
          <w:b/>
          <w:bCs/>
          <w:color w:val="000000"/>
          <w:sz w:val="23"/>
          <w:szCs w:val="23"/>
        </w:rPr>
        <w:t xml:space="preserve"> </w:t>
      </w:r>
      <w:r w:rsidRPr="00BD5BB8">
        <w:rPr>
          <w:rFonts w:ascii="Times New Roman" w:eastAsia="Times New Roman" w:hAnsi="Times New Roman" w:cs="Times New Roman"/>
          <w:sz w:val="24"/>
          <w:szCs w:val="24"/>
          <w:lang w:eastAsia="bg-BG"/>
        </w:rPr>
        <w:t xml:space="preserve">Равнището на общата смъртност на населението в България е най-високо сред държавите членки. С най-ниска смъртност са Ирландия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6.3‰, Кипър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7.0‰, и Люксембург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7.1‰. Освен в България значително по-висока от средната за ЕС-28 е стойността на този показател само в Латвия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14.8‰, и Литва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14.2‰. </w:t>
      </w:r>
    </w:p>
    <w:p w:rsidR="005F2097" w:rsidRPr="00BD5BB8" w:rsidRDefault="005E6632" w:rsidP="005E6632">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С най-висока смъртност в страната са областите Видин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23.2‰, Монтана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21.7‰ и Кюстендил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20.3‰. В седем области смъртността е по-ниска от общата за страната, като най-ниска е в София (столица)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11.7‰.</w:t>
      </w:r>
    </w:p>
    <w:p w:rsidR="005F2097" w:rsidRPr="00BD5BB8" w:rsidRDefault="005F2097" w:rsidP="005E6632">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Причините за смърт в продължение на повече от две десетилетия запазват относително устойчива структура.</w:t>
      </w:r>
    </w:p>
    <w:p w:rsidR="005F2097" w:rsidRPr="00BD5BB8" w:rsidRDefault="005F2097" w:rsidP="005E6632">
      <w:pPr>
        <w:spacing w:after="0" w:line="240" w:lineRule="auto"/>
        <w:ind w:firstLine="709"/>
        <w:contextualSpacing/>
        <w:jc w:val="both"/>
        <w:rPr>
          <w:rFonts w:ascii="Times New Roman" w:eastAsiaTheme="minorEastAsia" w:hAnsi="Times New Roman" w:cs="Times New Roman"/>
          <w:sz w:val="24"/>
          <w:szCs w:val="24"/>
          <w:lang w:eastAsia="bg-BG"/>
        </w:rPr>
      </w:pPr>
      <w:r w:rsidRPr="00BD5BB8">
        <w:rPr>
          <w:rFonts w:ascii="Times New Roman" w:eastAsia="Times New Roman" w:hAnsi="Times New Roman" w:cs="Times New Roman"/>
          <w:sz w:val="24"/>
          <w:szCs w:val="24"/>
          <w:lang w:eastAsia="bg-BG"/>
        </w:rPr>
        <w:t>През 201</w:t>
      </w:r>
      <w:r w:rsidR="004B3907" w:rsidRPr="00BD5BB8">
        <w:rPr>
          <w:rFonts w:ascii="Times New Roman" w:eastAsia="Times New Roman" w:hAnsi="Times New Roman" w:cs="Times New Roman"/>
          <w:sz w:val="24"/>
          <w:szCs w:val="24"/>
          <w:lang w:eastAsia="bg-BG"/>
        </w:rPr>
        <w:t>8</w:t>
      </w:r>
      <w:r w:rsidRPr="00BD5BB8">
        <w:rPr>
          <w:rFonts w:ascii="Times New Roman" w:eastAsia="Times New Roman" w:hAnsi="Times New Roman" w:cs="Times New Roman"/>
          <w:sz w:val="24"/>
          <w:szCs w:val="24"/>
          <w:lang w:eastAsia="bg-BG"/>
        </w:rPr>
        <w:t xml:space="preserve"> г. около ⅔ (65</w:t>
      </w:r>
      <w:r w:rsidR="005E6632" w:rsidRPr="00BD5BB8">
        <w:rPr>
          <w:rFonts w:ascii="Times New Roman" w:eastAsia="Times New Roman" w:hAnsi="Times New Roman" w:cs="Times New Roman"/>
          <w:sz w:val="24"/>
          <w:szCs w:val="24"/>
          <w:lang w:eastAsia="bg-BG"/>
        </w:rPr>
        <w:t>.</w:t>
      </w:r>
      <w:r w:rsidR="004B3907" w:rsidRPr="00BD5BB8">
        <w:rPr>
          <w:rFonts w:ascii="Times New Roman" w:eastAsia="Times New Roman" w:hAnsi="Times New Roman" w:cs="Times New Roman"/>
          <w:sz w:val="24"/>
          <w:szCs w:val="24"/>
          <w:lang w:eastAsia="bg-BG"/>
        </w:rPr>
        <w:t>0</w:t>
      </w:r>
      <w:r w:rsidRPr="00BD5BB8">
        <w:rPr>
          <w:rFonts w:ascii="Times New Roman" w:eastAsia="Times New Roman" w:hAnsi="Times New Roman" w:cs="Times New Roman"/>
          <w:sz w:val="24"/>
          <w:szCs w:val="24"/>
          <w:lang w:eastAsia="bg-BG"/>
        </w:rPr>
        <w:t>%) са болести на органите на кръвообращението. На второ място като причини за смърт са новообразуванията (16</w:t>
      </w:r>
      <w:r w:rsidR="004B3907" w:rsidRPr="00BD5BB8">
        <w:rPr>
          <w:rFonts w:ascii="Times New Roman" w:eastAsia="Times New Roman" w:hAnsi="Times New Roman" w:cs="Times New Roman"/>
          <w:sz w:val="24"/>
          <w:szCs w:val="24"/>
          <w:lang w:eastAsia="bg-BG"/>
        </w:rPr>
        <w:t>.</w:t>
      </w:r>
      <w:r w:rsidRPr="00BD5BB8">
        <w:rPr>
          <w:rFonts w:ascii="Times New Roman" w:eastAsia="Times New Roman" w:hAnsi="Times New Roman" w:cs="Times New Roman"/>
          <w:sz w:val="24"/>
          <w:szCs w:val="24"/>
          <w:lang w:eastAsia="bg-BG"/>
        </w:rPr>
        <w:t xml:space="preserve">1%), </w:t>
      </w:r>
      <w:r w:rsidR="004B3907" w:rsidRPr="00BD5BB8">
        <w:rPr>
          <w:rFonts w:ascii="Times New Roman" w:eastAsia="Times New Roman" w:hAnsi="Times New Roman" w:cs="Times New Roman"/>
          <w:sz w:val="24"/>
          <w:szCs w:val="24"/>
          <w:lang w:eastAsia="bg-BG"/>
        </w:rPr>
        <w:t>следвани от болестите</w:t>
      </w:r>
      <w:r w:rsidRPr="00BD5BB8">
        <w:rPr>
          <w:rFonts w:ascii="Times New Roman" w:eastAsia="Times New Roman" w:hAnsi="Times New Roman" w:cs="Times New Roman"/>
          <w:sz w:val="24"/>
          <w:szCs w:val="24"/>
          <w:lang w:eastAsia="bg-BG"/>
        </w:rPr>
        <w:t xml:space="preserve"> на дихателната система (4</w:t>
      </w:r>
      <w:r w:rsidR="005E6632" w:rsidRPr="00BD5BB8">
        <w:rPr>
          <w:rFonts w:ascii="Times New Roman" w:eastAsia="Times New Roman" w:hAnsi="Times New Roman" w:cs="Times New Roman"/>
          <w:sz w:val="24"/>
          <w:szCs w:val="24"/>
          <w:lang w:eastAsia="bg-BG"/>
        </w:rPr>
        <w:t>.</w:t>
      </w:r>
      <w:r w:rsidR="004B3907" w:rsidRPr="00BD5BB8">
        <w:rPr>
          <w:rFonts w:ascii="Times New Roman" w:eastAsia="Times New Roman" w:hAnsi="Times New Roman" w:cs="Times New Roman"/>
          <w:sz w:val="24"/>
          <w:szCs w:val="24"/>
          <w:lang w:eastAsia="bg-BG"/>
        </w:rPr>
        <w:t>5</w:t>
      </w:r>
      <w:r w:rsidRPr="00BD5BB8">
        <w:rPr>
          <w:rFonts w:ascii="Times New Roman" w:eastAsiaTheme="minorEastAsia" w:hAnsi="Times New Roman" w:cs="Times New Roman"/>
          <w:sz w:val="24"/>
          <w:szCs w:val="24"/>
          <w:lang w:eastAsia="bg-BG"/>
        </w:rPr>
        <w:t>%)</w:t>
      </w:r>
      <w:r w:rsidR="004B3907" w:rsidRPr="00BD5BB8">
        <w:rPr>
          <w:rFonts w:ascii="Times New Roman" w:eastAsiaTheme="minorEastAsia" w:hAnsi="Times New Roman" w:cs="Times New Roman"/>
          <w:sz w:val="24"/>
          <w:szCs w:val="24"/>
          <w:lang w:eastAsia="bg-BG"/>
        </w:rPr>
        <w:t xml:space="preserve"> и болести на храносмилателната система (3.6%), </w:t>
      </w:r>
      <w:r w:rsidRPr="00BD5BB8">
        <w:rPr>
          <w:rFonts w:ascii="Times New Roman" w:eastAsiaTheme="minorEastAsia" w:hAnsi="Times New Roman" w:cs="Times New Roman"/>
          <w:sz w:val="24"/>
          <w:szCs w:val="24"/>
          <w:lang w:eastAsia="bg-BG"/>
        </w:rPr>
        <w:t xml:space="preserve"> </w:t>
      </w:r>
      <w:r w:rsidR="005E6632" w:rsidRPr="00BD5BB8">
        <w:rPr>
          <w:rFonts w:ascii="Times New Roman" w:eastAsiaTheme="minorEastAsia" w:hAnsi="Times New Roman" w:cs="Times New Roman"/>
          <w:sz w:val="24"/>
          <w:szCs w:val="24"/>
          <w:lang w:eastAsia="bg-BG"/>
        </w:rPr>
        <w:t xml:space="preserve">т.е. </w:t>
      </w:r>
      <w:r w:rsidR="004B3907" w:rsidRPr="00BD5BB8">
        <w:rPr>
          <w:rFonts w:ascii="Times New Roman" w:eastAsiaTheme="minorEastAsia" w:hAnsi="Times New Roman" w:cs="Times New Roman"/>
          <w:sz w:val="24"/>
          <w:szCs w:val="24"/>
          <w:lang w:eastAsia="bg-BG"/>
        </w:rPr>
        <w:t>89</w:t>
      </w:r>
      <w:r w:rsidRPr="00BD5BB8">
        <w:rPr>
          <w:rFonts w:ascii="Times New Roman" w:eastAsiaTheme="minorEastAsia" w:hAnsi="Times New Roman" w:cs="Times New Roman"/>
          <w:sz w:val="24"/>
          <w:szCs w:val="24"/>
          <w:lang w:eastAsia="bg-BG"/>
        </w:rPr>
        <w:t xml:space="preserve">% от умиранията в България се дължат на посочените </w:t>
      </w:r>
      <w:r w:rsidR="004B3907" w:rsidRPr="00BD5BB8">
        <w:rPr>
          <w:rFonts w:ascii="Times New Roman" w:eastAsiaTheme="minorEastAsia" w:hAnsi="Times New Roman" w:cs="Times New Roman"/>
          <w:sz w:val="24"/>
          <w:szCs w:val="24"/>
          <w:lang w:eastAsia="bg-BG"/>
        </w:rPr>
        <w:t>четири</w:t>
      </w:r>
      <w:r w:rsidRPr="00BD5BB8">
        <w:rPr>
          <w:rFonts w:ascii="Times New Roman" w:eastAsiaTheme="minorEastAsia" w:hAnsi="Times New Roman" w:cs="Times New Roman"/>
          <w:sz w:val="24"/>
          <w:szCs w:val="24"/>
          <w:lang w:eastAsia="bg-BG"/>
        </w:rPr>
        <w:t xml:space="preserve"> групи причини</w:t>
      </w:r>
      <w:r w:rsidRPr="00BD5BB8">
        <w:rPr>
          <w:rFonts w:ascii="Times New Roman" w:eastAsiaTheme="minorEastAsia" w:hAnsi="Times New Roman" w:cs="Times New Roman"/>
          <w:sz w:val="18"/>
          <w:szCs w:val="18"/>
          <w:vertAlign w:val="superscript"/>
          <w:lang w:eastAsia="bg-BG"/>
        </w:rPr>
        <w:footnoteReference w:id="14"/>
      </w:r>
      <w:r w:rsidRPr="00BD5BB8">
        <w:rPr>
          <w:rFonts w:ascii="Times New Roman" w:eastAsiaTheme="minorEastAsia" w:hAnsi="Times New Roman" w:cs="Times New Roman"/>
          <w:sz w:val="24"/>
          <w:szCs w:val="24"/>
          <w:lang w:eastAsia="bg-BG"/>
        </w:rPr>
        <w:t>.</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vertAlign w:val="superscript"/>
          <w:lang w:eastAsia="bg-BG"/>
        </w:rPr>
      </w:pPr>
      <w:r w:rsidRPr="00BD5BB8">
        <w:rPr>
          <w:rFonts w:ascii="Times New Roman" w:eastAsiaTheme="minorEastAsia" w:hAnsi="Times New Roman" w:cs="Times New Roman"/>
          <w:b/>
          <w:sz w:val="24"/>
          <w:szCs w:val="24"/>
          <w:lang w:eastAsia="bg-BG"/>
        </w:rPr>
        <w:t>Високата смъртност се формира основно от умиранията на лицата над 65-годишна възраст. Основна причина за това е остаряването на българското население.</w:t>
      </w:r>
      <w:r w:rsidRPr="00BD5BB8">
        <w:rPr>
          <w:rFonts w:ascii="Times New Roman" w:eastAsiaTheme="minorEastAsia" w:hAnsi="Times New Roman" w:cs="Times New Roman"/>
          <w:sz w:val="24"/>
          <w:szCs w:val="24"/>
          <w:lang w:eastAsia="bg-BG"/>
        </w:rPr>
        <w:t xml:space="preserve"> Демографските прогнози показват, че именно поради обективните процеси на остаряване, нивото на общата смъртност в страната ще остане високо и непроменено поне до 2030 г. (Актуализирана Национална стратегия за демографско развитие на населението в Република България (2012-2030 г.)).</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 xml:space="preserve">Показателят на преждевременната смъртност (относителен дял на умрелите лица под 65-годишна възраст от общия брой на умиранията) и се увеличава леко </w:t>
      </w:r>
      <w:r w:rsidRPr="00BD5BB8">
        <w:rPr>
          <w:rFonts w:ascii="Times New Roman" w:eastAsiaTheme="minorEastAsia" w:hAnsi="Times New Roman" w:cs="Times New Roman"/>
          <w:sz w:val="24"/>
          <w:szCs w:val="24"/>
        </w:rPr>
        <w:t xml:space="preserve">– </w:t>
      </w:r>
      <w:r w:rsidRPr="00BD5BB8">
        <w:rPr>
          <w:rFonts w:ascii="Times New Roman" w:eastAsiaTheme="minorEastAsia" w:hAnsi="Times New Roman" w:cs="Times New Roman"/>
          <w:sz w:val="24"/>
          <w:szCs w:val="24"/>
          <w:lang w:eastAsia="bg-BG"/>
        </w:rPr>
        <w:t>с 0</w:t>
      </w:r>
      <w:r w:rsidR="005C75BB" w:rsidRPr="00BD5BB8">
        <w:rPr>
          <w:rFonts w:ascii="Times New Roman" w:eastAsiaTheme="minorEastAsia" w:hAnsi="Times New Roman" w:cs="Times New Roman"/>
          <w:sz w:val="24"/>
          <w:szCs w:val="24"/>
          <w:lang w:eastAsia="bg-BG"/>
        </w:rPr>
        <w:t>.1</w:t>
      </w:r>
      <w:r w:rsidRPr="00BD5BB8">
        <w:rPr>
          <w:rFonts w:ascii="Times New Roman" w:eastAsiaTheme="minorEastAsia" w:hAnsi="Times New Roman" w:cs="Times New Roman"/>
          <w:sz w:val="24"/>
          <w:szCs w:val="24"/>
          <w:lang w:eastAsia="bg-BG"/>
        </w:rPr>
        <w:t xml:space="preserve"> за последната година. През 201</w:t>
      </w:r>
      <w:r w:rsidR="005C75BB" w:rsidRPr="00BD5BB8">
        <w:rPr>
          <w:rFonts w:ascii="Times New Roman" w:eastAsiaTheme="minorEastAsia" w:hAnsi="Times New Roman" w:cs="Times New Roman"/>
          <w:sz w:val="24"/>
          <w:szCs w:val="24"/>
          <w:lang w:eastAsia="bg-BG"/>
        </w:rPr>
        <w:t>8</w:t>
      </w:r>
      <w:r w:rsidRPr="00BD5BB8">
        <w:rPr>
          <w:rFonts w:ascii="Times New Roman" w:eastAsiaTheme="minorEastAsia" w:hAnsi="Times New Roman" w:cs="Times New Roman"/>
          <w:sz w:val="24"/>
          <w:szCs w:val="24"/>
          <w:lang w:eastAsia="bg-BG"/>
        </w:rPr>
        <w:t xml:space="preserve"> г. е 2</w:t>
      </w:r>
      <w:r w:rsidR="005C75BB" w:rsidRPr="00BD5BB8">
        <w:rPr>
          <w:rFonts w:ascii="Times New Roman" w:eastAsiaTheme="minorEastAsia" w:hAnsi="Times New Roman" w:cs="Times New Roman"/>
          <w:sz w:val="24"/>
          <w:szCs w:val="24"/>
          <w:lang w:eastAsia="bg-BG"/>
        </w:rPr>
        <w:t>1.0</w:t>
      </w:r>
      <w:r w:rsidRPr="00BD5BB8">
        <w:rPr>
          <w:rFonts w:ascii="Times New Roman" w:eastAsiaTheme="minorEastAsia" w:hAnsi="Times New Roman" w:cs="Times New Roman"/>
          <w:sz w:val="24"/>
          <w:szCs w:val="24"/>
          <w:lang w:eastAsia="bg-BG"/>
        </w:rPr>
        <w:t>% при 2</w:t>
      </w:r>
      <w:r w:rsidR="005C75BB" w:rsidRPr="00BD5BB8">
        <w:rPr>
          <w:rFonts w:ascii="Times New Roman" w:eastAsiaTheme="minorEastAsia" w:hAnsi="Times New Roman" w:cs="Times New Roman"/>
          <w:sz w:val="24"/>
          <w:szCs w:val="24"/>
          <w:lang w:eastAsia="bg-BG"/>
        </w:rPr>
        <w:t>0.9</w:t>
      </w:r>
      <w:r w:rsidRPr="00BD5BB8">
        <w:rPr>
          <w:rFonts w:ascii="Times New Roman" w:eastAsiaTheme="minorEastAsia" w:hAnsi="Times New Roman" w:cs="Times New Roman"/>
          <w:sz w:val="24"/>
          <w:szCs w:val="24"/>
          <w:lang w:eastAsia="bg-BG"/>
        </w:rPr>
        <w:t>% през 201</w:t>
      </w:r>
      <w:r w:rsidR="005C75BB" w:rsidRPr="00BD5BB8">
        <w:rPr>
          <w:rFonts w:ascii="Times New Roman" w:eastAsiaTheme="minorEastAsia" w:hAnsi="Times New Roman" w:cs="Times New Roman"/>
          <w:sz w:val="24"/>
          <w:szCs w:val="24"/>
          <w:lang w:eastAsia="bg-BG"/>
        </w:rPr>
        <w:t>7</w:t>
      </w:r>
      <w:r w:rsidRPr="00BD5BB8">
        <w:rPr>
          <w:rFonts w:ascii="Times New Roman" w:eastAsiaTheme="minorEastAsia" w:hAnsi="Times New Roman" w:cs="Times New Roman"/>
          <w:sz w:val="24"/>
          <w:szCs w:val="24"/>
          <w:lang w:eastAsia="bg-BG"/>
        </w:rPr>
        <w:t xml:space="preserve"> г. </w:t>
      </w:r>
      <w:r w:rsidR="005C75BB" w:rsidRPr="00BD5BB8">
        <w:rPr>
          <w:rFonts w:ascii="Times New Roman" w:eastAsiaTheme="minorEastAsia" w:hAnsi="Times New Roman" w:cs="Times New Roman"/>
          <w:sz w:val="24"/>
          <w:szCs w:val="24"/>
          <w:lang w:eastAsia="bg-BG"/>
        </w:rPr>
        <w:t>В стойностите на показателя за преждевременна смъртност има съществени разлики при мъжете и жените. Умрелите жени на възраст под 65 години са 13.8% от всички умрели жени, а стойността на този показател при мъжете е 27.6%.</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Следва да се подчертае, че България остава страна с един от най-високите стандартизирани коефициенти за смъртност</w:t>
      </w:r>
      <w:r w:rsidR="003460FF" w:rsidRPr="00BD5BB8">
        <w:rPr>
          <w:rStyle w:val="FootnoteReference"/>
          <w:rFonts w:ascii="Times New Roman" w:eastAsiaTheme="minorEastAsia" w:hAnsi="Times New Roman" w:cs="Times New Roman"/>
          <w:sz w:val="20"/>
          <w:szCs w:val="20"/>
          <w:lang w:eastAsia="bg-BG"/>
        </w:rPr>
        <w:footnoteReference w:id="15"/>
      </w:r>
      <w:r w:rsidRPr="00BD5BB8">
        <w:rPr>
          <w:rFonts w:ascii="Times New Roman" w:eastAsiaTheme="minorEastAsia" w:hAnsi="Times New Roman" w:cs="Times New Roman"/>
          <w:sz w:val="24"/>
          <w:szCs w:val="24"/>
          <w:lang w:eastAsia="bg-BG"/>
        </w:rPr>
        <w:t xml:space="preserve"> (</w:t>
      </w:r>
      <w:r w:rsidR="003460FF" w:rsidRPr="00BD5BB8">
        <w:rPr>
          <w:rFonts w:ascii="Times New Roman" w:eastAsiaTheme="minorEastAsia" w:hAnsi="Times New Roman" w:cs="Times New Roman"/>
          <w:sz w:val="24"/>
          <w:szCs w:val="24"/>
          <w:lang w:eastAsia="bg-BG"/>
        </w:rPr>
        <w:t>1 601.</w:t>
      </w:r>
      <w:r w:rsidRPr="00BD5BB8">
        <w:rPr>
          <w:rFonts w:ascii="Times New Roman" w:eastAsiaTheme="minorEastAsia" w:hAnsi="Times New Roman" w:cs="Times New Roman"/>
          <w:sz w:val="24"/>
          <w:szCs w:val="24"/>
          <w:lang w:eastAsia="bg-BG"/>
        </w:rPr>
        <w:t>8</w:t>
      </w:r>
      <w:r w:rsidR="003460FF" w:rsidRPr="00BD5BB8">
        <w:rPr>
          <w:rFonts w:ascii="Times New Roman" w:eastAsiaTheme="minorEastAsia" w:hAnsi="Times New Roman" w:cs="Times New Roman"/>
          <w:sz w:val="24"/>
          <w:szCs w:val="24"/>
          <w:lang w:eastAsia="bg-BG"/>
        </w:rPr>
        <w:t>1</w:t>
      </w:r>
      <w:r w:rsidRPr="00BD5BB8">
        <w:rPr>
          <w:rFonts w:ascii="Times New Roman" w:eastAsiaTheme="minorEastAsia" w:hAnsi="Times New Roman" w:cs="Times New Roman"/>
          <w:sz w:val="24"/>
          <w:szCs w:val="24"/>
          <w:lang w:eastAsia="bg-BG"/>
        </w:rPr>
        <w:t xml:space="preserve"> %ооо) сред страните от ЕС, независимо от изразената тенденция за намаление. В повечето европейски страни стандартизираният коефициент за смъртност е по-нисък от средния за ЕС (</w:t>
      </w:r>
      <w:r w:rsidR="003460FF" w:rsidRPr="00BD5BB8">
        <w:rPr>
          <w:rFonts w:ascii="Times New Roman" w:eastAsiaTheme="minorEastAsia" w:hAnsi="Times New Roman" w:cs="Times New Roman"/>
          <w:sz w:val="24"/>
          <w:szCs w:val="24"/>
          <w:lang w:eastAsia="bg-BG"/>
        </w:rPr>
        <w:t>1 002.2</w:t>
      </w:r>
      <w:r w:rsidRPr="00BD5BB8">
        <w:rPr>
          <w:rFonts w:ascii="Times New Roman" w:eastAsiaTheme="minorEastAsia" w:hAnsi="Times New Roman" w:cs="Times New Roman"/>
          <w:sz w:val="24"/>
          <w:szCs w:val="24"/>
          <w:lang w:eastAsia="bg-BG"/>
        </w:rPr>
        <w:t>5%ооо)</w:t>
      </w:r>
      <w:r w:rsidR="003460FF" w:rsidRPr="00BD5BB8">
        <w:rPr>
          <w:rFonts w:ascii="Times New Roman" w:eastAsiaTheme="minorEastAsia" w:hAnsi="Times New Roman" w:cs="Times New Roman"/>
          <w:sz w:val="24"/>
          <w:szCs w:val="24"/>
          <w:lang w:eastAsia="bg-BG"/>
        </w:rPr>
        <w:t>, например – Румъния (1 476.24%ооо), Франция (837.81%ооо), Австрия (939.62%ооо)</w:t>
      </w:r>
      <w:r w:rsidRPr="00BD5BB8">
        <w:rPr>
          <w:rFonts w:ascii="Times New Roman" w:eastAsiaTheme="minorEastAsia" w:hAnsi="Times New Roman" w:cs="Times New Roman"/>
          <w:sz w:val="24"/>
          <w:szCs w:val="24"/>
          <w:lang w:eastAsia="bg-BG"/>
        </w:rPr>
        <w:t>.</w:t>
      </w:r>
    </w:p>
    <w:p w:rsidR="005F2097" w:rsidRPr="00BD5BB8" w:rsidRDefault="005F2097" w:rsidP="005F2097">
      <w:pPr>
        <w:spacing w:after="0" w:line="240" w:lineRule="auto"/>
        <w:ind w:firstLine="709"/>
        <w:jc w:val="both"/>
        <w:rPr>
          <w:rFonts w:ascii="Times New Roman" w:hAnsi="Times New Roman" w:cs="Times New Roman"/>
          <w:sz w:val="24"/>
          <w:szCs w:val="24"/>
        </w:rPr>
      </w:pPr>
    </w:p>
    <w:p w:rsidR="005F2097" w:rsidRPr="00BD5BB8" w:rsidRDefault="005F2097" w:rsidP="00E7186B">
      <w:pPr>
        <w:numPr>
          <w:ilvl w:val="2"/>
          <w:numId w:val="5"/>
        </w:numPr>
        <w:spacing w:after="0" w:line="240" w:lineRule="auto"/>
        <w:contextualSpacing/>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Средна продължителност на предстоящия живот</w:t>
      </w:r>
    </w:p>
    <w:p w:rsidR="00283800" w:rsidRPr="00BD5BB8" w:rsidRDefault="00283800" w:rsidP="00283800">
      <w:pPr>
        <w:autoSpaceDE w:val="0"/>
        <w:autoSpaceDN w:val="0"/>
        <w:adjustRightInd w:val="0"/>
        <w:spacing w:after="0" w:line="240" w:lineRule="auto"/>
        <w:ind w:firstLine="709"/>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Различните равнища на смъртност сред мъжете и жените, както и сред населението в градовете и селата, определят и разликата в очакваната средна продължителност на предстоящия живот на различните групи население. </w:t>
      </w:r>
    </w:p>
    <w:p w:rsidR="00283800" w:rsidRPr="00BD5BB8" w:rsidRDefault="00283800" w:rsidP="00283800">
      <w:pPr>
        <w:autoSpaceDE w:val="0"/>
        <w:autoSpaceDN w:val="0"/>
        <w:adjustRightInd w:val="0"/>
        <w:spacing w:after="0" w:line="240" w:lineRule="auto"/>
        <w:ind w:firstLine="709"/>
        <w:rPr>
          <w:rFonts w:ascii="Times New Roman" w:hAnsi="Times New Roman" w:cs="Times New Roman"/>
          <w:color w:val="000000"/>
          <w:sz w:val="23"/>
          <w:szCs w:val="23"/>
        </w:rPr>
      </w:pPr>
      <w:r w:rsidRPr="00BD5BB8">
        <w:rPr>
          <w:rFonts w:ascii="Times New Roman" w:hAnsi="Times New Roman" w:cs="Times New Roman"/>
          <w:b/>
          <w:bCs/>
          <w:color w:val="000000"/>
          <w:sz w:val="23"/>
          <w:szCs w:val="23"/>
        </w:rPr>
        <w:t>Средната продължителност на предстоящия живот</w:t>
      </w:r>
      <w:r w:rsidRPr="00BD5BB8">
        <w:rPr>
          <w:rFonts w:ascii="Times New Roman" w:hAnsi="Times New Roman" w:cs="Times New Roman"/>
          <w:b/>
          <w:bCs/>
          <w:color w:val="000000"/>
          <w:sz w:val="16"/>
          <w:szCs w:val="16"/>
        </w:rPr>
        <w:t xml:space="preserve">1 </w:t>
      </w:r>
      <w:r w:rsidRPr="00BD5BB8">
        <w:rPr>
          <w:rFonts w:ascii="Times New Roman" w:hAnsi="Times New Roman" w:cs="Times New Roman"/>
          <w:b/>
          <w:bCs/>
          <w:color w:val="000000"/>
          <w:sz w:val="23"/>
          <w:szCs w:val="23"/>
        </w:rPr>
        <w:t xml:space="preserve">общо за населението на страната, изчислена за периода 2016 - 2018 г., е 74.8 години </w:t>
      </w:r>
      <w:r w:rsidRPr="00BD5BB8">
        <w:rPr>
          <w:rFonts w:ascii="Times New Roman" w:hAnsi="Times New Roman" w:cs="Times New Roman"/>
          <w:color w:val="000000"/>
          <w:sz w:val="23"/>
          <w:szCs w:val="23"/>
        </w:rPr>
        <w:t xml:space="preserve">и спрямо предходния период (2015 - 2017 г.) остава непроменена. </w:t>
      </w:r>
    </w:p>
    <w:p w:rsidR="005F2097" w:rsidRPr="00BD5BB8" w:rsidRDefault="00283800" w:rsidP="00283800">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hAnsi="Times New Roman" w:cs="Times New Roman"/>
          <w:color w:val="000000"/>
          <w:sz w:val="23"/>
          <w:szCs w:val="23"/>
        </w:rPr>
        <w:t xml:space="preserve">Средната продължителност на живота при мъжете е 71.4 години, докато при жените е със 7.0 години по-висока </w:t>
      </w:r>
      <w:r w:rsidR="00E1364C"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78.4 години. Средната продължителност на предстоящия живот е с 2.9 години по-висока за населението в градовете (75.7 години) отколкото за населението в селата (72.8 години).</w:t>
      </w:r>
      <w:r w:rsidR="005F2097" w:rsidRPr="00BD5BB8">
        <w:rPr>
          <w:rFonts w:ascii="Times New Roman" w:eastAsia="Times New Roman" w:hAnsi="Times New Roman" w:cs="Times New Roman"/>
          <w:sz w:val="24"/>
          <w:szCs w:val="24"/>
          <w:lang w:eastAsia="bg-BG"/>
        </w:rPr>
        <w:t xml:space="preserve"> </w:t>
      </w:r>
    </w:p>
    <w:p w:rsidR="005F2097" w:rsidRPr="00BD5BB8" w:rsidRDefault="005F2097" w:rsidP="005F2097">
      <w:pPr>
        <w:spacing w:after="0" w:line="240" w:lineRule="auto"/>
        <w:jc w:val="center"/>
        <w:rPr>
          <w:rFonts w:ascii="Times New Roman" w:hAnsi="Times New Roman" w:cs="Times New Roman"/>
          <w:b/>
          <w:bCs/>
          <w:sz w:val="24"/>
          <w:szCs w:val="24"/>
        </w:rPr>
      </w:pPr>
    </w:p>
    <w:p w:rsidR="005F2097" w:rsidRPr="00BD5BB8" w:rsidRDefault="005F2097" w:rsidP="005F2097">
      <w:pPr>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Фигура 1: Средна продължителност на предстоящия живот по пол и периоди</w:t>
      </w:r>
    </w:p>
    <w:p w:rsidR="005F2097" w:rsidRPr="00BD5BB8" w:rsidRDefault="00283800" w:rsidP="005F2097">
      <w:pPr>
        <w:spacing w:after="0" w:line="240" w:lineRule="auto"/>
        <w:jc w:val="center"/>
        <w:rPr>
          <w:rFonts w:ascii="Times New Roman" w:hAnsi="Times New Roman" w:cs="Times New Roman"/>
          <w:color w:val="0000FF"/>
          <w:sz w:val="24"/>
          <w:szCs w:val="24"/>
        </w:rPr>
      </w:pPr>
      <w:r w:rsidRPr="00BD5BB8">
        <w:rPr>
          <w:rFonts w:ascii="Times New Roman" w:hAnsi="Times New Roman" w:cs="Times New Roman"/>
          <w:noProof/>
          <w:color w:val="0000FF"/>
          <w:sz w:val="24"/>
          <w:szCs w:val="24"/>
          <w:lang w:eastAsia="bg-BG"/>
        </w:rPr>
        <w:drawing>
          <wp:inline distT="0" distB="0" distL="0" distR="0" wp14:anchorId="1211F840" wp14:editId="566D7502">
            <wp:extent cx="5760720" cy="226905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269051"/>
                    </a:xfrm>
                    <a:prstGeom prst="rect">
                      <a:avLst/>
                    </a:prstGeom>
                    <a:noFill/>
                    <a:ln>
                      <a:noFill/>
                    </a:ln>
                  </pic:spPr>
                </pic:pic>
              </a:graphicData>
            </a:graphic>
          </wp:inline>
        </w:drawing>
      </w:r>
    </w:p>
    <w:p w:rsidR="005F2097" w:rsidRPr="00BD5BB8" w:rsidRDefault="005F2097" w:rsidP="005F2097">
      <w:pPr>
        <w:spacing w:after="0" w:line="240" w:lineRule="auto"/>
        <w:jc w:val="both"/>
        <w:rPr>
          <w:rFonts w:ascii="Times New Roman" w:hAnsi="Times New Roman" w:cs="Times New Roman"/>
          <w:sz w:val="20"/>
          <w:szCs w:val="20"/>
        </w:rPr>
      </w:pPr>
      <w:r w:rsidRPr="00BD5BB8">
        <w:rPr>
          <w:rFonts w:ascii="Times New Roman" w:hAnsi="Times New Roman" w:cs="Times New Roman"/>
          <w:sz w:val="20"/>
          <w:szCs w:val="20"/>
        </w:rPr>
        <w:t>Източник: НСИ</w:t>
      </w:r>
    </w:p>
    <w:p w:rsidR="00687C39" w:rsidRPr="00BD5BB8" w:rsidRDefault="00687C39" w:rsidP="00060802">
      <w:pPr>
        <w:autoSpaceDE w:val="0"/>
        <w:autoSpaceDN w:val="0"/>
        <w:adjustRightInd w:val="0"/>
        <w:spacing w:after="0" w:line="240" w:lineRule="auto"/>
        <w:ind w:firstLine="708"/>
        <w:jc w:val="both"/>
        <w:rPr>
          <w:rFonts w:ascii="Times New Roman" w:hAnsi="Times New Roman" w:cs="Times New Roman"/>
          <w:sz w:val="24"/>
          <w:szCs w:val="24"/>
        </w:rPr>
      </w:pPr>
    </w:p>
    <w:p w:rsidR="00B17EAA" w:rsidRPr="00BD5BB8" w:rsidRDefault="00B17EAA" w:rsidP="00B17EAA">
      <w:pPr>
        <w:autoSpaceDE w:val="0"/>
        <w:autoSpaceDN w:val="0"/>
        <w:adjustRightInd w:val="0"/>
        <w:spacing w:after="0" w:line="240" w:lineRule="auto"/>
        <w:ind w:firstLine="567"/>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България заедно с Латвия (74.9 години) е сред страните с най-ниска средна продължителност на живота на населението в Европейския съюз</w:t>
      </w:r>
      <w:r w:rsidRPr="00BD5BB8">
        <w:rPr>
          <w:rStyle w:val="FootnoteReference"/>
          <w:rFonts w:ascii="Times New Roman" w:hAnsi="Times New Roman" w:cs="Times New Roman"/>
          <w:color w:val="000000"/>
          <w:sz w:val="23"/>
          <w:szCs w:val="23"/>
        </w:rPr>
        <w:footnoteReference w:id="16"/>
      </w:r>
      <w:r w:rsidRPr="00BD5BB8">
        <w:rPr>
          <w:rFonts w:ascii="Times New Roman" w:hAnsi="Times New Roman" w:cs="Times New Roman"/>
          <w:color w:val="000000"/>
          <w:sz w:val="23"/>
          <w:szCs w:val="23"/>
        </w:rPr>
        <w:t xml:space="preserve">, а с най-висока са Испания (83.4) и Италия (83.1 години). </w:t>
      </w:r>
    </w:p>
    <w:p w:rsidR="005F2097" w:rsidRPr="00BD5BB8" w:rsidRDefault="005F2097" w:rsidP="00B17EAA">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Въпреки значителното й нарастване, средната продължителност на живота у нас изостава значително от средната такава за страните от Европейския съюз, при които е 80</w:t>
      </w:r>
      <w:r w:rsidR="00E1364C" w:rsidRPr="00BD5BB8">
        <w:rPr>
          <w:rFonts w:ascii="Times New Roman" w:eastAsiaTheme="minorEastAsia" w:hAnsi="Times New Roman" w:cs="Times New Roman"/>
          <w:sz w:val="24"/>
          <w:szCs w:val="24"/>
          <w:lang w:eastAsia="bg-BG"/>
        </w:rPr>
        <w:t>.</w:t>
      </w:r>
      <w:r w:rsidRPr="00BD5BB8">
        <w:rPr>
          <w:rFonts w:ascii="Times New Roman" w:eastAsiaTheme="minorEastAsia" w:hAnsi="Times New Roman" w:cs="Times New Roman"/>
          <w:sz w:val="24"/>
          <w:szCs w:val="24"/>
          <w:lang w:eastAsia="bg-BG"/>
        </w:rPr>
        <w:t>87.</w:t>
      </w:r>
      <w:r w:rsidRPr="00BD5BB8">
        <w:rPr>
          <w:rFonts w:ascii="Times New Roman" w:eastAsiaTheme="minorEastAsia" w:hAnsi="Times New Roman" w:cs="Times New Roman"/>
          <w:sz w:val="24"/>
          <w:szCs w:val="24"/>
          <w:vertAlign w:val="superscript"/>
          <w:lang w:eastAsia="bg-BG"/>
        </w:rPr>
        <w:footnoteReference w:id="17"/>
      </w:r>
    </w:p>
    <w:p w:rsidR="005F2097" w:rsidRPr="00BD5BB8" w:rsidRDefault="005F2097" w:rsidP="00E7186B">
      <w:pPr>
        <w:numPr>
          <w:ilvl w:val="2"/>
          <w:numId w:val="5"/>
        </w:numPr>
        <w:spacing w:after="0" w:line="240" w:lineRule="auto"/>
        <w:contextualSpacing/>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Структура на населението по възраст</w:t>
      </w:r>
    </w:p>
    <w:p w:rsidR="00FF3B3D" w:rsidRPr="00BD5BB8" w:rsidRDefault="00FF3B3D" w:rsidP="00060802">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p>
    <w:p w:rsidR="005F2097" w:rsidRPr="00BD5BB8" w:rsidRDefault="005F2097" w:rsidP="00060802">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 xml:space="preserve">Измененията във възрастовата структура на населението показва неблагоприятни тенденции. </w:t>
      </w:r>
    </w:p>
    <w:p w:rsidR="00283800" w:rsidRPr="00BD5BB8" w:rsidRDefault="00283800" w:rsidP="00060802">
      <w:pPr>
        <w:autoSpaceDE w:val="0"/>
        <w:autoSpaceDN w:val="0"/>
        <w:adjustRightInd w:val="0"/>
        <w:spacing w:after="0" w:line="240" w:lineRule="auto"/>
        <w:ind w:firstLine="709"/>
        <w:jc w:val="both"/>
        <w:rPr>
          <w:rFonts w:ascii="Times New Roman" w:hAnsi="Times New Roman" w:cs="Times New Roman"/>
          <w:color w:val="000000"/>
          <w:sz w:val="23"/>
          <w:szCs w:val="23"/>
        </w:rPr>
      </w:pPr>
      <w:r w:rsidRPr="00BD5BB8">
        <w:rPr>
          <w:rFonts w:ascii="Times New Roman" w:hAnsi="Times New Roman" w:cs="Times New Roman"/>
          <w:b/>
          <w:bCs/>
          <w:color w:val="000000"/>
          <w:sz w:val="23"/>
          <w:szCs w:val="23"/>
        </w:rPr>
        <w:t xml:space="preserve">Продължава процесът на застаряване на населението. </w:t>
      </w:r>
      <w:r w:rsidRPr="00BD5BB8">
        <w:rPr>
          <w:rFonts w:ascii="Times New Roman" w:hAnsi="Times New Roman" w:cs="Times New Roman"/>
          <w:color w:val="000000"/>
          <w:sz w:val="23"/>
          <w:szCs w:val="23"/>
        </w:rPr>
        <w:t xml:space="preserve">В края на 2018 г. лицата на 65 и повече навършени години са 1 493 119, или 21.3% от населението на страната. В сравнение с 2017 г. делът на населението в тази възрастова група нараства с 0.3 процентни пункта. </w:t>
      </w:r>
    </w:p>
    <w:p w:rsidR="00283800" w:rsidRPr="00BD5BB8" w:rsidRDefault="00283800" w:rsidP="00060802">
      <w:pPr>
        <w:autoSpaceDE w:val="0"/>
        <w:autoSpaceDN w:val="0"/>
        <w:adjustRightInd w:val="0"/>
        <w:spacing w:after="0" w:line="240" w:lineRule="auto"/>
        <w:ind w:firstLine="709"/>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Процесът на застаряване е по-силно изразен сред жените отколкото сред мъжете. Относителният дял на жените на възраст над 65 години е 24.8%, а на мъжете </w:t>
      </w:r>
      <w:r w:rsidR="00E1364C"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17.7%. Тази </w:t>
      </w:r>
      <w:r w:rsidRPr="00BD5BB8">
        <w:rPr>
          <w:rFonts w:ascii="Times New Roman" w:hAnsi="Times New Roman" w:cs="Times New Roman"/>
          <w:color w:val="000000"/>
          <w:sz w:val="23"/>
          <w:szCs w:val="23"/>
        </w:rPr>
        <w:lastRenderedPageBreak/>
        <w:t xml:space="preserve">разлика се дължи на по-високата смъртност сред мъжете и като следствие от нея - на по-ниската средна продължителност на живота при тях. </w:t>
      </w:r>
    </w:p>
    <w:p w:rsidR="005F2097" w:rsidRPr="00BD5BB8" w:rsidRDefault="00283800" w:rsidP="00060802">
      <w:pPr>
        <w:autoSpaceDE w:val="0"/>
        <w:autoSpaceDN w:val="0"/>
        <w:adjustRightInd w:val="0"/>
        <w:spacing w:after="0" w:line="240" w:lineRule="auto"/>
        <w:ind w:firstLine="709"/>
        <w:jc w:val="both"/>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В регионален аспект делът на лицата на 65 и повече навършени години е най-висок в областите Видин (29.6%), Габрово (28.6%) и Кюстендил (27.3%). Общо в двадесет области този дял е над средния за страната. Най-нисък е делът на възрастното население в областите София (столица) </w:t>
      </w:r>
      <w:r w:rsidR="00E1364C"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17.5%, и Варна </w:t>
      </w:r>
      <w:r w:rsidR="00E1364C"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18.9%.</w:t>
      </w:r>
    </w:p>
    <w:p w:rsidR="00854FC3" w:rsidRPr="00BD5BB8" w:rsidRDefault="00854FC3" w:rsidP="005F2097">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bg-BG"/>
        </w:rPr>
      </w:pPr>
    </w:p>
    <w:p w:rsidR="005F2097" w:rsidRPr="00BD5BB8" w:rsidRDefault="005F2097" w:rsidP="005F2097">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Фигура 2: Относителен дял на населението на 65 и повече навършени години към 31.12.201</w:t>
      </w:r>
      <w:r w:rsidR="00B87D2C" w:rsidRPr="00BD5BB8">
        <w:rPr>
          <w:rFonts w:ascii="Times New Roman" w:eastAsia="Times New Roman" w:hAnsi="Times New Roman" w:cs="Times New Roman"/>
          <w:b/>
          <w:bCs/>
          <w:sz w:val="24"/>
          <w:szCs w:val="24"/>
          <w:lang w:eastAsia="bg-BG"/>
        </w:rPr>
        <w:t>8</w:t>
      </w:r>
      <w:r w:rsidRPr="00BD5BB8">
        <w:rPr>
          <w:rFonts w:ascii="Times New Roman" w:eastAsia="Times New Roman" w:hAnsi="Times New Roman" w:cs="Times New Roman"/>
          <w:b/>
          <w:bCs/>
          <w:sz w:val="24"/>
          <w:szCs w:val="24"/>
          <w:lang w:eastAsia="bg-BG"/>
        </w:rPr>
        <w:t xml:space="preserve"> г. по области</w:t>
      </w:r>
    </w:p>
    <w:p w:rsidR="005F2097" w:rsidRPr="00BD5BB8" w:rsidRDefault="00283800" w:rsidP="005F2097">
      <w:pPr>
        <w:spacing w:after="0" w:line="240" w:lineRule="auto"/>
        <w:jc w:val="center"/>
        <w:rPr>
          <w:rFonts w:ascii="Times New Roman" w:hAnsi="Times New Roman" w:cs="Times New Roman"/>
          <w:color w:val="0000FF"/>
          <w:sz w:val="24"/>
          <w:szCs w:val="24"/>
        </w:rPr>
      </w:pPr>
      <w:r w:rsidRPr="00BD5BB8">
        <w:rPr>
          <w:rFonts w:ascii="Times New Roman" w:hAnsi="Times New Roman" w:cs="Times New Roman"/>
          <w:noProof/>
          <w:color w:val="0000FF"/>
          <w:sz w:val="24"/>
          <w:szCs w:val="24"/>
          <w:lang w:eastAsia="bg-BG"/>
        </w:rPr>
        <w:drawing>
          <wp:inline distT="0" distB="0" distL="0" distR="0" wp14:anchorId="402EABB0" wp14:editId="597D503C">
            <wp:extent cx="5760720" cy="4072312"/>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072312"/>
                    </a:xfrm>
                    <a:prstGeom prst="rect">
                      <a:avLst/>
                    </a:prstGeom>
                    <a:noFill/>
                    <a:ln>
                      <a:noFill/>
                    </a:ln>
                  </pic:spPr>
                </pic:pic>
              </a:graphicData>
            </a:graphic>
          </wp:inline>
        </w:drawing>
      </w:r>
    </w:p>
    <w:p w:rsidR="005F2097" w:rsidRPr="00BD5BB8" w:rsidRDefault="005F2097" w:rsidP="005F2097">
      <w:pPr>
        <w:autoSpaceDE w:val="0"/>
        <w:autoSpaceDN w:val="0"/>
        <w:adjustRightInd w:val="0"/>
        <w:spacing w:after="0" w:line="240" w:lineRule="auto"/>
        <w:ind w:firstLine="709"/>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Източник: НСИ</w:t>
      </w:r>
    </w:p>
    <w:p w:rsidR="00060802" w:rsidRPr="00BD5BB8" w:rsidRDefault="00060802" w:rsidP="005F2097">
      <w:pPr>
        <w:autoSpaceDE w:val="0"/>
        <w:autoSpaceDN w:val="0"/>
        <w:adjustRightInd w:val="0"/>
        <w:spacing w:after="0" w:line="240" w:lineRule="auto"/>
        <w:ind w:firstLine="709"/>
        <w:jc w:val="both"/>
        <w:rPr>
          <w:rFonts w:ascii="Times New Roman" w:eastAsia="Times New Roman" w:hAnsi="Times New Roman" w:cs="Times New Roman"/>
          <w:sz w:val="20"/>
          <w:szCs w:val="20"/>
          <w:lang w:eastAsia="bg-BG"/>
        </w:rPr>
      </w:pP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Общо за ЕС-28 относителният дял на населението на 65 и повече навършени години е 19.7%. Най-висок е този дял в Италия (22.6%), следвана от Гърция (21.8%) и Португалия (21.5%). Общо в осем страни, включително и България, делът на възрастното </w:t>
      </w:r>
      <w:r w:rsidR="00B7253A" w:rsidRPr="00BD5BB8">
        <w:rPr>
          <w:rFonts w:ascii="Times New Roman" w:eastAsia="Times New Roman" w:hAnsi="Times New Roman" w:cs="Times New Roman"/>
          <w:sz w:val="24"/>
          <w:szCs w:val="24"/>
          <w:lang w:eastAsia="bg-BG"/>
        </w:rPr>
        <w:t>население е над 20.0%.</w:t>
      </w: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Към 31.12.2018 г. </w:t>
      </w:r>
      <w:r w:rsidRPr="00BD5BB8">
        <w:rPr>
          <w:rFonts w:ascii="Times New Roman" w:eastAsia="Times New Roman" w:hAnsi="Times New Roman" w:cs="Times New Roman"/>
          <w:b/>
          <w:bCs/>
          <w:sz w:val="24"/>
          <w:szCs w:val="24"/>
          <w:lang w:eastAsia="bg-BG"/>
        </w:rPr>
        <w:t>децата до 15 години в страната са 1 004</w:t>
      </w:r>
      <w:r w:rsidR="00E1364C" w:rsidRPr="00BD5BB8">
        <w:rPr>
          <w:rFonts w:ascii="Times New Roman" w:eastAsia="Times New Roman" w:hAnsi="Times New Roman" w:cs="Times New Roman"/>
          <w:b/>
          <w:bCs/>
          <w:sz w:val="24"/>
          <w:szCs w:val="24"/>
          <w:lang w:eastAsia="bg-BG"/>
        </w:rPr>
        <w:t> </w:t>
      </w:r>
      <w:r w:rsidRPr="00BD5BB8">
        <w:rPr>
          <w:rFonts w:ascii="Times New Roman" w:eastAsia="Times New Roman" w:hAnsi="Times New Roman" w:cs="Times New Roman"/>
          <w:b/>
          <w:bCs/>
          <w:sz w:val="24"/>
          <w:szCs w:val="24"/>
          <w:lang w:eastAsia="bg-BG"/>
        </w:rPr>
        <w:t>845</w:t>
      </w:r>
      <w:r w:rsidR="00E1364C" w:rsidRPr="00BD5BB8">
        <w:rPr>
          <w:rFonts w:ascii="Times New Roman" w:eastAsia="Times New Roman" w:hAnsi="Times New Roman" w:cs="Times New Roman"/>
          <w:b/>
          <w:bCs/>
          <w:sz w:val="24"/>
          <w:szCs w:val="24"/>
          <w:lang w:eastAsia="bg-BG"/>
        </w:rPr>
        <w:t>,</w:t>
      </w:r>
      <w:r w:rsidRPr="00BD5BB8">
        <w:rPr>
          <w:rFonts w:ascii="Times New Roman" w:eastAsia="Times New Roman" w:hAnsi="Times New Roman" w:cs="Times New Roman"/>
          <w:b/>
          <w:bCs/>
          <w:sz w:val="24"/>
          <w:szCs w:val="24"/>
          <w:lang w:eastAsia="bg-BG"/>
        </w:rPr>
        <w:t xml:space="preserve"> или 14.4% от общия брой на населението, </w:t>
      </w:r>
      <w:r w:rsidRPr="00BD5BB8">
        <w:rPr>
          <w:rFonts w:ascii="Times New Roman" w:eastAsia="Times New Roman" w:hAnsi="Times New Roman" w:cs="Times New Roman"/>
          <w:sz w:val="24"/>
          <w:szCs w:val="24"/>
          <w:lang w:eastAsia="bg-BG"/>
        </w:rPr>
        <w:t>като спрямо 2017 г. този дял се ув</w:t>
      </w:r>
      <w:r w:rsidR="00B7253A" w:rsidRPr="00BD5BB8">
        <w:rPr>
          <w:rFonts w:ascii="Times New Roman" w:eastAsia="Times New Roman" w:hAnsi="Times New Roman" w:cs="Times New Roman"/>
          <w:sz w:val="24"/>
          <w:szCs w:val="24"/>
          <w:lang w:eastAsia="bg-BG"/>
        </w:rPr>
        <w:t>еличава с 0.1 процентни пункта.</w:t>
      </w:r>
    </w:p>
    <w:p w:rsidR="005F2097"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Относителният дял на населението под 15 години е най-висок в областите Сливен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18.5%, и Бургас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15.6% от населението на областта. Общо в шестнадесет области този дял е под общия за страната, като най-нисък е в областите Смолян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11.5% и Габрово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11.6%.</w:t>
      </w: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Делът на най-младото население в ЕС-28 в началото на 2018 г. е 15.6%, като най-нисък е в Италия (13.4%) и Германия (13.5%), а най-висок е в Ирла</w:t>
      </w:r>
      <w:r w:rsidR="00B7253A" w:rsidRPr="00BD5BB8">
        <w:rPr>
          <w:rFonts w:ascii="Times New Roman" w:eastAsia="Times New Roman" w:hAnsi="Times New Roman" w:cs="Times New Roman"/>
          <w:sz w:val="24"/>
          <w:szCs w:val="24"/>
          <w:lang w:eastAsia="bg-BG"/>
        </w:rPr>
        <w:t>ндия (20.8%) и Франция (18.1%).</w:t>
      </w: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lastRenderedPageBreak/>
        <w:t xml:space="preserve">Към 31.12.2018 г. </w:t>
      </w:r>
      <w:r w:rsidRPr="00BD5BB8">
        <w:rPr>
          <w:rFonts w:ascii="Times New Roman" w:eastAsia="Times New Roman" w:hAnsi="Times New Roman" w:cs="Times New Roman"/>
          <w:b/>
          <w:bCs/>
          <w:sz w:val="24"/>
          <w:szCs w:val="24"/>
          <w:lang w:eastAsia="bg-BG"/>
        </w:rPr>
        <w:t>общият коефициент на възрастова зависимост</w:t>
      </w:r>
      <w:r w:rsidR="00EF1DFD" w:rsidRPr="00BD5BB8">
        <w:rPr>
          <w:rStyle w:val="FootnoteReference"/>
          <w:rFonts w:ascii="Times New Roman" w:eastAsia="Times New Roman" w:hAnsi="Times New Roman" w:cs="Times New Roman"/>
          <w:b/>
          <w:bCs/>
          <w:sz w:val="24"/>
          <w:szCs w:val="24"/>
          <w:lang w:eastAsia="bg-BG"/>
        </w:rPr>
        <w:footnoteReference w:id="18"/>
      </w:r>
      <w:r w:rsidRPr="00BD5BB8">
        <w:rPr>
          <w:rFonts w:ascii="Times New Roman" w:eastAsia="Times New Roman" w:hAnsi="Times New Roman" w:cs="Times New Roman"/>
          <w:b/>
          <w:bCs/>
          <w:sz w:val="24"/>
          <w:szCs w:val="24"/>
          <w:lang w:eastAsia="bg-BG"/>
        </w:rPr>
        <w:t xml:space="preserve"> в България е 55.5%, </w:t>
      </w:r>
      <w:r w:rsidRPr="00BD5BB8">
        <w:rPr>
          <w:rFonts w:ascii="Times New Roman" w:eastAsia="Times New Roman" w:hAnsi="Times New Roman" w:cs="Times New Roman"/>
          <w:sz w:val="24"/>
          <w:szCs w:val="24"/>
          <w:lang w:eastAsia="bg-BG"/>
        </w:rPr>
        <w:t xml:space="preserve">или на всяко лице в зависимите възрасти (под 15 и над 65 години) се падат по-малко от две лица в активна възраст. За сравнение, през 2017 </w:t>
      </w:r>
      <w:r w:rsidR="00B7253A" w:rsidRPr="00BD5BB8">
        <w:rPr>
          <w:rFonts w:ascii="Times New Roman" w:eastAsia="Times New Roman" w:hAnsi="Times New Roman" w:cs="Times New Roman"/>
          <w:sz w:val="24"/>
          <w:szCs w:val="24"/>
          <w:lang w:eastAsia="bg-BG"/>
        </w:rPr>
        <w:t>г. този коефициент е бил 54.5%.</w:t>
      </w: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Това съотношение е по-благоприятно в градовете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51.5%, отколкото в селата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67.8%. Във всички области на страната този показател е над 50.0% с изключение на София (столица)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47.1%, като най-неблагоприятно е съотношението в областите Видин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71.5%, Габрово и Ловеч </w:t>
      </w:r>
      <w:r w:rsidR="00E1364C" w:rsidRPr="00BD5BB8">
        <w:rPr>
          <w:rFonts w:ascii="Times New Roman" w:eastAsia="Times New Roman" w:hAnsi="Times New Roman" w:cs="Times New Roman"/>
          <w:sz w:val="24"/>
          <w:szCs w:val="24"/>
          <w:lang w:eastAsia="bg-BG"/>
        </w:rPr>
        <w:t xml:space="preserve">– </w:t>
      </w:r>
      <w:r w:rsidR="00B7253A" w:rsidRPr="00BD5BB8">
        <w:rPr>
          <w:rFonts w:ascii="Times New Roman" w:eastAsia="Times New Roman" w:hAnsi="Times New Roman" w:cs="Times New Roman"/>
          <w:sz w:val="24"/>
          <w:szCs w:val="24"/>
          <w:lang w:eastAsia="bg-BG"/>
        </w:rPr>
        <w:t>по 67.4%.</w:t>
      </w:r>
    </w:p>
    <w:p w:rsidR="00060802"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Застаряването на населението води до повишаване на неговата </w:t>
      </w:r>
      <w:r w:rsidRPr="00BD5BB8">
        <w:rPr>
          <w:rFonts w:ascii="Times New Roman" w:eastAsia="Times New Roman" w:hAnsi="Times New Roman" w:cs="Times New Roman"/>
          <w:b/>
          <w:bCs/>
          <w:sz w:val="24"/>
          <w:szCs w:val="24"/>
          <w:lang w:eastAsia="bg-BG"/>
        </w:rPr>
        <w:t xml:space="preserve">средна възраст, </w:t>
      </w:r>
      <w:r w:rsidRPr="00BD5BB8">
        <w:rPr>
          <w:rFonts w:ascii="Times New Roman" w:eastAsia="Times New Roman" w:hAnsi="Times New Roman" w:cs="Times New Roman"/>
          <w:sz w:val="24"/>
          <w:szCs w:val="24"/>
          <w:lang w:eastAsia="bg-BG"/>
        </w:rPr>
        <w:t xml:space="preserve">която от 40.4 години през 2001 г. нараства до </w:t>
      </w:r>
      <w:r w:rsidRPr="00BD5BB8">
        <w:rPr>
          <w:rFonts w:ascii="Times New Roman" w:eastAsia="Times New Roman" w:hAnsi="Times New Roman" w:cs="Times New Roman"/>
          <w:b/>
          <w:bCs/>
          <w:sz w:val="24"/>
          <w:szCs w:val="24"/>
          <w:lang w:eastAsia="bg-BG"/>
        </w:rPr>
        <w:t>43.</w:t>
      </w:r>
      <w:r w:rsidR="00B7253A" w:rsidRPr="00BD5BB8">
        <w:rPr>
          <w:rFonts w:ascii="Times New Roman" w:eastAsia="Times New Roman" w:hAnsi="Times New Roman" w:cs="Times New Roman"/>
          <w:b/>
          <w:bCs/>
          <w:sz w:val="24"/>
          <w:szCs w:val="24"/>
          <w:lang w:eastAsia="bg-BG"/>
        </w:rPr>
        <w:t>8 години в края на 2018 година.</w:t>
      </w:r>
    </w:p>
    <w:p w:rsidR="005F2097" w:rsidRPr="00BD5BB8" w:rsidRDefault="00060802" w:rsidP="00060802">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sz w:val="24"/>
          <w:szCs w:val="24"/>
          <w:lang w:eastAsia="bg-BG"/>
        </w:rPr>
        <w:t xml:space="preserve">Процесът на застаряване на населението се проявява както в селата, така и в градовете, като в градовете средната възраст на населението е 42.8 години, а в селата </w:t>
      </w:r>
      <w:r w:rsidR="00E1364C"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46.4 години.</w:t>
      </w:r>
    </w:p>
    <w:p w:rsidR="005F2097" w:rsidRPr="00BD5BB8" w:rsidRDefault="005F2097" w:rsidP="005F2097">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Фигура 3: Средна възраст на населението</w:t>
      </w:r>
    </w:p>
    <w:p w:rsidR="005F2097" w:rsidRPr="00BD5BB8" w:rsidRDefault="005F2097" w:rsidP="005F2097">
      <w:pPr>
        <w:spacing w:after="0" w:line="240" w:lineRule="auto"/>
        <w:jc w:val="both"/>
        <w:rPr>
          <w:rFonts w:ascii="Times New Roman" w:hAnsi="Times New Roman" w:cs="Times New Roman"/>
          <w:color w:val="0000FF"/>
          <w:sz w:val="24"/>
          <w:szCs w:val="24"/>
        </w:rPr>
      </w:pPr>
      <w:r w:rsidRPr="00BD5BB8">
        <w:rPr>
          <w:rFonts w:ascii="Times New Roman" w:hAnsi="Times New Roman" w:cs="Times New Roman"/>
          <w:noProof/>
          <w:color w:val="0000FF"/>
          <w:sz w:val="24"/>
          <w:szCs w:val="24"/>
          <w:lang w:eastAsia="bg-BG"/>
        </w:rPr>
        <mc:AlternateContent>
          <mc:Choice Requires="wpc">
            <w:drawing>
              <wp:inline distT="0" distB="0" distL="0" distR="0" wp14:anchorId="377BEAB5" wp14:editId="27E80496">
                <wp:extent cx="5870442" cy="2773437"/>
                <wp:effectExtent l="0" t="0" r="16510" b="27305"/>
                <wp:docPr id="77"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solidFill>
                            <a:schemeClr val="tx1"/>
                          </a:solidFill>
                        </a:ln>
                      </wpc:whole>
                      <pic:pic xmlns:pic="http://schemas.openxmlformats.org/drawingml/2006/picture">
                        <pic:nvPicPr>
                          <pic:cNvPr id="74"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00004" y="69355"/>
                            <a:ext cx="5765800" cy="2698750"/>
                          </a:xfrm>
                          <a:prstGeom prst="rect">
                            <a:avLst/>
                          </a:prstGeom>
                          <a:solidFill>
                            <a:sysClr val="windowText" lastClr="000000"/>
                          </a:solidFill>
                          <a:ln>
                            <a:noFill/>
                          </a:ln>
                        </pic:spPr>
                      </pic:pic>
                      <pic:pic xmlns:pic="http://schemas.openxmlformats.org/drawingml/2006/picture">
                        <pic:nvPicPr>
                          <pic:cNvPr id="52" name="Picture 52"/>
                          <pic:cNvPicPr>
                            <a:picLocks noChangeAspect="1"/>
                          </pic:cNvPicPr>
                        </pic:nvPicPr>
                        <pic:blipFill>
                          <a:blip r:embed="rId13"/>
                          <a:stretch>
                            <a:fillRect/>
                          </a:stretch>
                        </pic:blipFill>
                        <pic:spPr>
                          <a:xfrm>
                            <a:off x="64002" y="30237"/>
                            <a:ext cx="5806440" cy="2723061"/>
                          </a:xfrm>
                          <a:prstGeom prst="rect">
                            <a:avLst/>
                          </a:prstGeom>
                        </pic:spPr>
                      </pic:pic>
                    </wpc:wpc>
                  </a:graphicData>
                </a:graphic>
              </wp:inline>
            </w:drawing>
          </mc:Choice>
          <mc:Fallback>
            <w:pict>
              <v:group id="Canvas 77" o:spid="_x0000_s1026" editas="canvas" style="width:462.25pt;height:218.4pt;mso-position-horizontal-relative:char;mso-position-vertical-relative:line" coordsize="58699,27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699;height:27730;visibility:visible;mso-wrap-style:square" stroked="t" strokecolor="black [3213]">
                  <v:fill o:detectmouseclick="t"/>
                  <v:path o:connecttype="none"/>
                </v:shape>
                <v:shape id="Picture 9" o:spid="_x0000_s1028" type="#_x0000_t75" style="position:absolute;left:1000;top:693;width:57658;height:26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62jEAAAA2wAAAA8AAABkcnMvZG93bnJldi54bWxEj91qwkAUhO+FvsNyCt6IbqxWJc1GSkEs&#10;BaH+PMAhe5qEZs+G3Y0mb+8WCl4OM/MNk21704grOV9bVjCfJSCIC6trLhVczrvpBoQPyBoby6Rg&#10;IA/b/GmUYartjY90PYVSRAj7FBVUIbSplL6oyKCf2ZY4ej/WGQxRulJqh7cIN418SZKVNFhzXKiw&#10;pY+Kit9TZxQki24/TL6sk0Px3eHFHeaLV63U+Ll/fwMRqA+P8H/7UytYL+HvS/wBMr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62jEAAAA2wAAAA8AAAAAAAAAAAAAAAAA&#10;nwIAAGRycy9kb3ducmV2LnhtbFBLBQYAAAAABAAEAPcAAACQAwAAAAA=&#10;" filled="t" fillcolor="windowText">
                  <v:imagedata r:id="rId14" o:title=""/>
                </v:shape>
                <v:shape id="Picture 52" o:spid="_x0000_s1029" type="#_x0000_t75" style="position:absolute;left:640;top:302;width:58064;height:27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YMGvFAAAA2wAAAA8AAABkcnMvZG93bnJldi54bWxEj0FrAjEUhO9C/0N4Qi+iSRWL3RqlFKTS&#10;i3SV0uNj89wsu3lZNum6/vumIHgcZuYbZr0dXCN66kLlWcPTTIEgLrypuNRwOu6mKxAhIhtsPJOG&#10;KwXYbh5Ga8yMv/AX9XksRYJwyFCDjbHNpAyFJYdh5lvi5J195zAm2ZXSdHhJcNfIuVLP0mHFacFi&#10;S++Wijr/dRo+Fj/FTtmXa12rSb/4rvznwe+1fhwPb68gIg3xHr6190bDcg7/X9IP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GDBrxQAAANsAAAAPAAAAAAAAAAAAAAAA&#10;AJ8CAABkcnMvZG93bnJldi54bWxQSwUGAAAAAAQABAD3AAAAkQMAAAAA&#10;">
                  <v:imagedata r:id="rId15" o:title=""/>
                  <v:path arrowok="t"/>
                </v:shape>
                <w10:anchorlock/>
              </v:group>
            </w:pict>
          </mc:Fallback>
        </mc:AlternateContent>
      </w:r>
    </w:p>
    <w:p w:rsidR="005F2097" w:rsidRPr="00BD5BB8" w:rsidRDefault="005F2097" w:rsidP="005F2097">
      <w:pPr>
        <w:spacing w:after="0" w:line="240" w:lineRule="auto"/>
        <w:jc w:val="both"/>
        <w:rPr>
          <w:rFonts w:ascii="Times New Roman" w:hAnsi="Times New Roman" w:cs="Times New Roman"/>
          <w:sz w:val="20"/>
          <w:szCs w:val="20"/>
        </w:rPr>
      </w:pPr>
      <w:r w:rsidRPr="00BD5BB8">
        <w:rPr>
          <w:rFonts w:ascii="Times New Roman" w:hAnsi="Times New Roman" w:cs="Times New Roman"/>
          <w:sz w:val="20"/>
          <w:szCs w:val="20"/>
        </w:rPr>
        <w:t>Източник: НСИ</w:t>
      </w:r>
    </w:p>
    <w:p w:rsidR="005F2097" w:rsidRPr="00BD5BB8" w:rsidRDefault="005F2097" w:rsidP="005F2097">
      <w:pPr>
        <w:spacing w:after="0" w:line="240" w:lineRule="auto"/>
        <w:jc w:val="both"/>
        <w:rPr>
          <w:rFonts w:ascii="Times New Roman" w:hAnsi="Times New Roman" w:cs="Times New Roman"/>
          <w:color w:val="0000FF"/>
          <w:sz w:val="24"/>
          <w:szCs w:val="24"/>
        </w:rPr>
      </w:pPr>
    </w:p>
    <w:p w:rsidR="0026126B" w:rsidRPr="00BD5BB8" w:rsidRDefault="0026126B" w:rsidP="0026126B">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Тенденцията на застаряване на населението води до промени и в неговата основна възрастова структура </w:t>
      </w:r>
      <w:r w:rsidR="00E1364C" w:rsidRPr="00BD5BB8">
        <w:rPr>
          <w:rFonts w:ascii="Times New Roman" w:hAnsi="Times New Roman" w:cs="Times New Roman"/>
          <w:sz w:val="24"/>
          <w:szCs w:val="24"/>
        </w:rPr>
        <w:t xml:space="preserve">– </w:t>
      </w:r>
      <w:r w:rsidRPr="00BD5BB8">
        <w:rPr>
          <w:rFonts w:ascii="Times New Roman" w:hAnsi="Times New Roman" w:cs="Times New Roman"/>
          <w:b/>
          <w:bCs/>
          <w:sz w:val="24"/>
          <w:szCs w:val="24"/>
        </w:rPr>
        <w:t xml:space="preserve">под, във и над трудоспособна възраст. </w:t>
      </w:r>
      <w:r w:rsidRPr="00BD5BB8">
        <w:rPr>
          <w:rFonts w:ascii="Times New Roman" w:hAnsi="Times New Roman" w:cs="Times New Roman"/>
          <w:sz w:val="24"/>
          <w:szCs w:val="24"/>
        </w:rPr>
        <w:t>Влияние върху съвкупностите на населението във и над трудоспособна възраст оказват както застаряването на населението, така и законодателните промени</w:t>
      </w:r>
      <w:r w:rsidR="00E1364C" w:rsidRPr="00BD5BB8">
        <w:rPr>
          <w:rStyle w:val="FootnoteReference"/>
          <w:rFonts w:ascii="Times New Roman" w:hAnsi="Times New Roman" w:cs="Times New Roman"/>
          <w:sz w:val="20"/>
          <w:szCs w:val="20"/>
        </w:rPr>
        <w:footnoteReference w:id="19"/>
      </w:r>
      <w:r w:rsidRPr="00BD5BB8">
        <w:rPr>
          <w:rFonts w:ascii="Times New Roman" w:hAnsi="Times New Roman" w:cs="Times New Roman"/>
          <w:sz w:val="20"/>
          <w:szCs w:val="20"/>
        </w:rPr>
        <w:t xml:space="preserve"> </w:t>
      </w:r>
      <w:r w:rsidRPr="00BD5BB8">
        <w:rPr>
          <w:rFonts w:ascii="Times New Roman" w:hAnsi="Times New Roman" w:cs="Times New Roman"/>
          <w:sz w:val="24"/>
          <w:szCs w:val="24"/>
        </w:rPr>
        <w:t>при определянето на възрас</w:t>
      </w:r>
      <w:r w:rsidR="00B7253A" w:rsidRPr="00BD5BB8">
        <w:rPr>
          <w:rFonts w:ascii="Times New Roman" w:hAnsi="Times New Roman" w:cs="Times New Roman"/>
          <w:sz w:val="24"/>
          <w:szCs w:val="24"/>
        </w:rPr>
        <w:t>товите граници за пенсиониране.</w:t>
      </w:r>
    </w:p>
    <w:p w:rsidR="0026126B" w:rsidRPr="00BD5BB8" w:rsidRDefault="0026126B" w:rsidP="0026126B">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За 2018 г. тези граници за населението в трудоспособна възраст са до навършването на 61 години и 2 месеца за жените и 64 години и 1 месец за мъжете. </w:t>
      </w:r>
    </w:p>
    <w:p w:rsidR="0026126B" w:rsidRPr="00BD5BB8" w:rsidRDefault="0026126B" w:rsidP="0026126B">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
          <w:bCs/>
          <w:sz w:val="24"/>
          <w:szCs w:val="24"/>
        </w:rPr>
        <w:t xml:space="preserve">Населението в трудоспособна възраст към 31.12.2018 г. е 4 201 хил. души, или 60.0% </w:t>
      </w:r>
      <w:r w:rsidRPr="00BD5BB8">
        <w:rPr>
          <w:rFonts w:ascii="Times New Roman" w:hAnsi="Times New Roman" w:cs="Times New Roman"/>
          <w:sz w:val="24"/>
          <w:szCs w:val="24"/>
        </w:rPr>
        <w:t xml:space="preserve">от населението на страната, като мъжете са 2 206 хил., а жените </w:t>
      </w:r>
      <w:r w:rsidR="00E1364C"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1 994 </w:t>
      </w:r>
      <w:r w:rsidRPr="00BD5BB8">
        <w:rPr>
          <w:rFonts w:ascii="Times New Roman" w:hAnsi="Times New Roman" w:cs="Times New Roman"/>
          <w:sz w:val="24"/>
          <w:szCs w:val="24"/>
        </w:rPr>
        <w:lastRenderedPageBreak/>
        <w:t>хиляди. През 2018 г. броят на трудоспособното население намалява с почти 48 хил. души, или с 1.1%</w:t>
      </w:r>
      <w:r w:rsidR="00B7253A" w:rsidRPr="00BD5BB8">
        <w:rPr>
          <w:rFonts w:ascii="Times New Roman" w:hAnsi="Times New Roman" w:cs="Times New Roman"/>
          <w:sz w:val="24"/>
          <w:szCs w:val="24"/>
        </w:rPr>
        <w:t>, спрямо предходната година.</w:t>
      </w:r>
    </w:p>
    <w:p w:rsidR="005F2097" w:rsidRPr="00BD5BB8" w:rsidRDefault="0026126B" w:rsidP="0026126B">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Към края на 2018 г. над трудоспособна възраст са 1 732 хил. души, или 24.8%, а под трудоспособна възраст </w:t>
      </w:r>
      <w:r w:rsidR="00572189"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1 067 хил. души, или 15.2% от населението на страната.</w:t>
      </w:r>
    </w:p>
    <w:p w:rsidR="005F2097" w:rsidRPr="00BD5BB8" w:rsidRDefault="005F2097" w:rsidP="005F2097">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bg-BG"/>
        </w:rPr>
      </w:pPr>
    </w:p>
    <w:p w:rsidR="003A0840" w:rsidRPr="00BD5BB8" w:rsidRDefault="003A0840" w:rsidP="005F2097">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bg-BG"/>
        </w:rPr>
      </w:pPr>
    </w:p>
    <w:p w:rsidR="005F2097" w:rsidRPr="00BD5BB8" w:rsidRDefault="005F2097" w:rsidP="005F2097">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BD5BB8">
        <w:rPr>
          <w:rFonts w:ascii="Times New Roman" w:hAnsi="Times New Roman" w:cs="Times New Roman"/>
          <w:b/>
          <w:color w:val="000000" w:themeColor="text1"/>
          <w:sz w:val="24"/>
          <w:szCs w:val="24"/>
        </w:rPr>
        <w:t>Таблица 2: Население под, във и над трудоспособна възраст към 31.12. (в %)</w:t>
      </w:r>
    </w:p>
    <w:p w:rsidR="0026126B" w:rsidRPr="00BD5BB8" w:rsidRDefault="0026126B" w:rsidP="005F2097">
      <w:pPr>
        <w:autoSpaceDE w:val="0"/>
        <w:autoSpaceDN w:val="0"/>
        <w:adjustRightInd w:val="0"/>
        <w:spacing w:after="0" w:line="240" w:lineRule="auto"/>
        <w:jc w:val="center"/>
        <w:rPr>
          <w:rFonts w:ascii="Times New Roman" w:hAnsi="Times New Roman" w:cs="Times New Roman"/>
          <w:b/>
          <w:color w:val="000000" w:themeColor="text1"/>
          <w:sz w:val="24"/>
          <w:szCs w:val="24"/>
        </w:rPr>
      </w:pPr>
    </w:p>
    <w:tbl>
      <w:tblPr>
        <w:tblW w:w="7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2117"/>
        <w:gridCol w:w="1985"/>
        <w:gridCol w:w="1939"/>
      </w:tblGrid>
      <w:tr w:rsidR="005F2097" w:rsidRPr="00BD5BB8" w:rsidTr="005F2097">
        <w:trPr>
          <w:trHeight w:val="191"/>
          <w:jc w:val="center"/>
        </w:trPr>
        <w:tc>
          <w:tcPr>
            <w:tcW w:w="960" w:type="dxa"/>
            <w:vMerge w:val="restart"/>
            <w:shd w:val="clear" w:color="auto" w:fill="92D050"/>
            <w:noWrap/>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r w:rsidRPr="00BD5BB8">
              <w:rPr>
                <w:rFonts w:ascii="Times New Roman" w:hAnsi="Times New Roman" w:cs="Times New Roman"/>
                <w:b/>
                <w:bCs/>
                <w:color w:val="000000" w:themeColor="text1"/>
              </w:rPr>
              <w:t>Година</w:t>
            </w:r>
          </w:p>
        </w:tc>
        <w:tc>
          <w:tcPr>
            <w:tcW w:w="6041" w:type="dxa"/>
            <w:gridSpan w:val="3"/>
            <w:shd w:val="clear" w:color="auto" w:fill="92D050"/>
            <w:noWrap/>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r w:rsidRPr="00BD5BB8">
              <w:rPr>
                <w:rFonts w:ascii="Times New Roman" w:hAnsi="Times New Roman" w:cs="Times New Roman"/>
                <w:b/>
                <w:bCs/>
                <w:color w:val="000000" w:themeColor="text1"/>
              </w:rPr>
              <w:t>Възраст</w:t>
            </w:r>
          </w:p>
        </w:tc>
      </w:tr>
      <w:tr w:rsidR="005F2097" w:rsidRPr="00BD5BB8" w:rsidTr="005F2097">
        <w:trPr>
          <w:trHeight w:val="273"/>
          <w:jc w:val="center"/>
        </w:trPr>
        <w:tc>
          <w:tcPr>
            <w:tcW w:w="960" w:type="dxa"/>
            <w:vMerge/>
            <w:shd w:val="clear" w:color="auto" w:fill="92D050"/>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p>
        </w:tc>
        <w:tc>
          <w:tcPr>
            <w:tcW w:w="2117" w:type="dxa"/>
            <w:shd w:val="clear" w:color="auto" w:fill="92D050"/>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r w:rsidRPr="00BD5BB8">
              <w:rPr>
                <w:rFonts w:ascii="Times New Roman" w:hAnsi="Times New Roman" w:cs="Times New Roman"/>
                <w:b/>
                <w:bCs/>
                <w:color w:val="000000" w:themeColor="text1"/>
              </w:rPr>
              <w:t>под трудоспособна</w:t>
            </w:r>
          </w:p>
        </w:tc>
        <w:tc>
          <w:tcPr>
            <w:tcW w:w="1985" w:type="dxa"/>
            <w:shd w:val="clear" w:color="auto" w:fill="92D050"/>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r w:rsidRPr="00BD5BB8">
              <w:rPr>
                <w:rFonts w:ascii="Times New Roman" w:hAnsi="Times New Roman" w:cs="Times New Roman"/>
                <w:b/>
                <w:bCs/>
                <w:color w:val="000000" w:themeColor="text1"/>
              </w:rPr>
              <w:t>в трудоспособна</w:t>
            </w:r>
          </w:p>
        </w:tc>
        <w:tc>
          <w:tcPr>
            <w:tcW w:w="1939" w:type="dxa"/>
            <w:shd w:val="clear" w:color="auto" w:fill="92D050"/>
            <w:vAlign w:val="center"/>
          </w:tcPr>
          <w:p w:rsidR="005F2097" w:rsidRPr="00BD5BB8" w:rsidRDefault="005F2097" w:rsidP="005F2097">
            <w:pPr>
              <w:spacing w:after="0" w:line="240" w:lineRule="auto"/>
              <w:jc w:val="center"/>
              <w:rPr>
                <w:rFonts w:ascii="Times New Roman" w:hAnsi="Times New Roman" w:cs="Times New Roman"/>
                <w:b/>
                <w:bCs/>
                <w:color w:val="000000" w:themeColor="text1"/>
              </w:rPr>
            </w:pPr>
            <w:r w:rsidRPr="00BD5BB8">
              <w:rPr>
                <w:rFonts w:ascii="Times New Roman" w:hAnsi="Times New Roman" w:cs="Times New Roman"/>
                <w:b/>
                <w:bCs/>
                <w:color w:val="000000" w:themeColor="text1"/>
              </w:rPr>
              <w:t>над трудоспособна</w:t>
            </w:r>
          </w:p>
        </w:tc>
      </w:tr>
      <w:tr w:rsidR="0026126B" w:rsidRPr="00BD5BB8" w:rsidTr="00444B39">
        <w:trPr>
          <w:trHeight w:val="133"/>
          <w:jc w:val="center"/>
        </w:trPr>
        <w:tc>
          <w:tcPr>
            <w:tcW w:w="960"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2017 </w:t>
            </w:r>
          </w:p>
        </w:tc>
        <w:tc>
          <w:tcPr>
            <w:tcW w:w="2117"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15.1 </w:t>
            </w:r>
          </w:p>
        </w:tc>
        <w:tc>
          <w:tcPr>
            <w:tcW w:w="1985"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60.3 </w:t>
            </w:r>
          </w:p>
        </w:tc>
        <w:tc>
          <w:tcPr>
            <w:tcW w:w="1939"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24.6 </w:t>
            </w:r>
          </w:p>
        </w:tc>
      </w:tr>
      <w:tr w:rsidR="0026126B" w:rsidRPr="00BD5BB8" w:rsidTr="00444B39">
        <w:trPr>
          <w:trHeight w:val="133"/>
          <w:jc w:val="center"/>
        </w:trPr>
        <w:tc>
          <w:tcPr>
            <w:tcW w:w="960"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2018 </w:t>
            </w:r>
          </w:p>
        </w:tc>
        <w:tc>
          <w:tcPr>
            <w:tcW w:w="2117"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15.2 </w:t>
            </w:r>
          </w:p>
        </w:tc>
        <w:tc>
          <w:tcPr>
            <w:tcW w:w="1985"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60.0 </w:t>
            </w:r>
          </w:p>
        </w:tc>
        <w:tc>
          <w:tcPr>
            <w:tcW w:w="1939" w:type="dxa"/>
            <w:shd w:val="clear" w:color="auto" w:fill="auto"/>
            <w:noWrap/>
          </w:tcPr>
          <w:p w:rsidR="0026126B" w:rsidRPr="00BD5BB8" w:rsidRDefault="0026126B" w:rsidP="0026126B">
            <w:pPr>
              <w:pStyle w:val="Default"/>
              <w:jc w:val="right"/>
              <w:rPr>
                <w:sz w:val="20"/>
                <w:szCs w:val="20"/>
              </w:rPr>
            </w:pPr>
            <w:r w:rsidRPr="00BD5BB8">
              <w:rPr>
                <w:sz w:val="20"/>
                <w:szCs w:val="20"/>
              </w:rPr>
              <w:t xml:space="preserve">24.8 </w:t>
            </w:r>
          </w:p>
        </w:tc>
      </w:tr>
    </w:tbl>
    <w:p w:rsidR="0026126B" w:rsidRPr="00BD5BB8" w:rsidRDefault="0026126B" w:rsidP="005F2097">
      <w:pPr>
        <w:autoSpaceDE w:val="0"/>
        <w:autoSpaceDN w:val="0"/>
        <w:adjustRightInd w:val="0"/>
        <w:spacing w:after="0" w:line="240" w:lineRule="auto"/>
        <w:ind w:left="284"/>
        <w:jc w:val="both"/>
        <w:rPr>
          <w:rFonts w:ascii="Times New Roman" w:hAnsi="Times New Roman" w:cs="Times New Roman"/>
          <w:color w:val="000000" w:themeColor="text1"/>
          <w:sz w:val="20"/>
          <w:szCs w:val="20"/>
        </w:rPr>
      </w:pPr>
    </w:p>
    <w:p w:rsidR="005F2097" w:rsidRPr="00BD5BB8" w:rsidRDefault="005F2097" w:rsidP="005F2097">
      <w:pPr>
        <w:autoSpaceDE w:val="0"/>
        <w:autoSpaceDN w:val="0"/>
        <w:adjustRightInd w:val="0"/>
        <w:spacing w:after="0" w:line="240" w:lineRule="auto"/>
        <w:ind w:left="284"/>
        <w:jc w:val="both"/>
        <w:rPr>
          <w:rFonts w:ascii="Times New Roman" w:hAnsi="Times New Roman" w:cs="Times New Roman"/>
          <w:color w:val="000000" w:themeColor="text1"/>
          <w:sz w:val="20"/>
          <w:szCs w:val="20"/>
        </w:rPr>
      </w:pPr>
      <w:r w:rsidRPr="00BD5BB8">
        <w:rPr>
          <w:rFonts w:ascii="Times New Roman" w:hAnsi="Times New Roman" w:cs="Times New Roman"/>
          <w:color w:val="000000" w:themeColor="text1"/>
          <w:sz w:val="20"/>
          <w:szCs w:val="20"/>
        </w:rPr>
        <w:t>Източник: НСИ</w:t>
      </w:r>
    </w:p>
    <w:p w:rsidR="005F2097" w:rsidRPr="00BD5BB8" w:rsidRDefault="005F2097" w:rsidP="005F2097">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p>
    <w:p w:rsidR="0026126B" w:rsidRPr="00BD5BB8" w:rsidRDefault="0026126B" w:rsidP="0026126B">
      <w:pPr>
        <w:autoSpaceDE w:val="0"/>
        <w:autoSpaceDN w:val="0"/>
        <w:adjustRightInd w:val="0"/>
        <w:spacing w:after="0" w:line="240" w:lineRule="auto"/>
        <w:rPr>
          <w:rFonts w:ascii="Times New Roman" w:hAnsi="Times New Roman" w:cs="Times New Roman"/>
          <w:color w:val="000000"/>
          <w:sz w:val="23"/>
          <w:szCs w:val="23"/>
        </w:rPr>
      </w:pPr>
      <w:r w:rsidRPr="00BD5BB8">
        <w:rPr>
          <w:rFonts w:ascii="Times New Roman" w:hAnsi="Times New Roman" w:cs="Times New Roman"/>
          <w:color w:val="000000"/>
          <w:sz w:val="23"/>
          <w:szCs w:val="23"/>
        </w:rPr>
        <w:t xml:space="preserve">Възпроизводството на трудоспособното население се характеризира чрез </w:t>
      </w:r>
      <w:r w:rsidRPr="00BD5BB8">
        <w:rPr>
          <w:rFonts w:ascii="Times New Roman" w:hAnsi="Times New Roman" w:cs="Times New Roman"/>
          <w:b/>
          <w:bCs/>
          <w:color w:val="000000"/>
          <w:sz w:val="23"/>
          <w:szCs w:val="23"/>
        </w:rPr>
        <w:t xml:space="preserve">коефициента на демографско заместване, </w:t>
      </w:r>
      <w:r w:rsidRPr="00BD5BB8">
        <w:rPr>
          <w:rFonts w:ascii="Times New Roman" w:hAnsi="Times New Roman" w:cs="Times New Roman"/>
          <w:color w:val="000000"/>
          <w:sz w:val="23"/>
          <w:szCs w:val="23"/>
        </w:rPr>
        <w:t xml:space="preserve">който показва съотношението между броя на влизащите в трудоспособна възраст (15 - 19 години) и броя на излизащите от трудоспособна възраст (60 - 64 години). </w:t>
      </w:r>
      <w:r w:rsidRPr="00BD5BB8">
        <w:rPr>
          <w:rFonts w:ascii="Times New Roman" w:hAnsi="Times New Roman" w:cs="Times New Roman"/>
          <w:b/>
          <w:color w:val="000000"/>
          <w:sz w:val="23"/>
          <w:szCs w:val="23"/>
        </w:rPr>
        <w:t>Към 31.12.2018 г. това съотношение е 66</w:t>
      </w:r>
      <w:r w:rsidRPr="00BD5BB8">
        <w:rPr>
          <w:rFonts w:ascii="Times New Roman" w:hAnsi="Times New Roman" w:cs="Times New Roman"/>
          <w:color w:val="000000"/>
          <w:sz w:val="23"/>
          <w:szCs w:val="23"/>
        </w:rPr>
        <w:t xml:space="preserve">. За сравнение, през 2001 г. 100 лица, излизащи от трудоспособна възраст, са били замествани от 124 млади хора. </w:t>
      </w:r>
    </w:p>
    <w:p w:rsidR="005F2097" w:rsidRPr="00BD5BB8" w:rsidRDefault="0026126B" w:rsidP="0026126B">
      <w:pPr>
        <w:autoSpaceDE w:val="0"/>
        <w:autoSpaceDN w:val="0"/>
        <w:adjustRightInd w:val="0"/>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hAnsi="Times New Roman" w:cs="Times New Roman"/>
          <w:color w:val="000000"/>
          <w:sz w:val="23"/>
          <w:szCs w:val="23"/>
        </w:rPr>
        <w:t xml:space="preserve">Най-благоприятно е съотношението в областите Сливен </w:t>
      </w:r>
      <w:r w:rsidR="00572189"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87, Варна </w:t>
      </w:r>
      <w:r w:rsidR="00572189"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73, и София (столица) </w:t>
      </w:r>
      <w:r w:rsidR="00572189" w:rsidRPr="00BD5BB8">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 xml:space="preserve">72 лица. Най-нисък е този показател в областите Смолян </w:t>
      </w:r>
      <w:r w:rsidR="00C362DE" w:rsidRPr="00C362DE">
        <w:rPr>
          <w:rFonts w:ascii="Times New Roman" w:hAnsi="Times New Roman" w:cs="Times New Roman"/>
          <w:color w:val="000000"/>
          <w:sz w:val="23"/>
          <w:szCs w:val="23"/>
        </w:rPr>
        <w:t xml:space="preserve">– </w:t>
      </w:r>
      <w:r w:rsidRPr="00BD5BB8">
        <w:rPr>
          <w:rFonts w:ascii="Times New Roman" w:hAnsi="Times New Roman" w:cs="Times New Roman"/>
          <w:color w:val="000000"/>
          <w:sz w:val="23"/>
          <w:szCs w:val="23"/>
        </w:rPr>
        <w:t>43, Перник – 49, и Габрово, където 100 лица, излизащи от трудоспособна възраст, се заместват от 51 лица, влизащи в трудоспособна възраст.</w:t>
      </w:r>
    </w:p>
    <w:p w:rsidR="005F2097" w:rsidRPr="00BD5BB8" w:rsidRDefault="005F2097" w:rsidP="005F2097">
      <w:pPr>
        <w:spacing w:after="0" w:line="240" w:lineRule="auto"/>
        <w:jc w:val="center"/>
        <w:rPr>
          <w:rFonts w:ascii="Times New Roman" w:hAnsi="Times New Roman" w:cs="Times New Roman"/>
          <w:b/>
          <w:sz w:val="24"/>
          <w:szCs w:val="24"/>
        </w:rPr>
      </w:pPr>
    </w:p>
    <w:p w:rsidR="005F2097" w:rsidRPr="00BD5BB8" w:rsidRDefault="005F2097" w:rsidP="005F2097">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Таблица 3: Структура на населението по възрастови съотношения/коефициенти на възрастова зависимост по статистически райони, 201</w:t>
      </w:r>
      <w:r w:rsidR="003E0A6B" w:rsidRPr="00BD5BB8">
        <w:rPr>
          <w:rFonts w:ascii="Times New Roman" w:hAnsi="Times New Roman" w:cs="Times New Roman"/>
          <w:b/>
          <w:sz w:val="24"/>
          <w:szCs w:val="24"/>
        </w:rPr>
        <w:t>8</w:t>
      </w:r>
      <w:r w:rsidRPr="00BD5BB8">
        <w:rPr>
          <w:rFonts w:ascii="Times New Roman" w:hAnsi="Times New Roman" w:cs="Times New Roman"/>
          <w:b/>
          <w:sz w:val="24"/>
          <w:szCs w:val="24"/>
        </w:rPr>
        <w:t xml:space="preserve"> г.</w:t>
      </w:r>
    </w:p>
    <w:tbl>
      <w:tblPr>
        <w:tblStyle w:val="TableGrid"/>
        <w:tblW w:w="0" w:type="auto"/>
        <w:tblInd w:w="108" w:type="dxa"/>
        <w:tblLook w:val="04A0" w:firstRow="1" w:lastRow="0" w:firstColumn="1" w:lastColumn="0" w:noHBand="0" w:noVBand="1"/>
      </w:tblPr>
      <w:tblGrid>
        <w:gridCol w:w="2819"/>
        <w:gridCol w:w="3062"/>
        <w:gridCol w:w="3299"/>
      </w:tblGrid>
      <w:tr w:rsidR="005F2097" w:rsidRPr="00BD5BB8" w:rsidTr="005F2097">
        <w:trPr>
          <w:trHeight w:hRule="exact" w:val="1399"/>
        </w:trPr>
        <w:tc>
          <w:tcPr>
            <w:tcW w:w="2962" w:type="dxa"/>
            <w:shd w:val="clear" w:color="auto" w:fill="92D050"/>
          </w:tcPr>
          <w:p w:rsidR="005F2097" w:rsidRPr="00BD5BB8" w:rsidRDefault="005F2097" w:rsidP="005F2097">
            <w:pPr>
              <w:jc w:val="center"/>
              <w:rPr>
                <w:rFonts w:ascii="Times New Roman" w:hAnsi="Times New Roman" w:cs="Times New Roman"/>
                <w:b/>
              </w:rPr>
            </w:pPr>
          </w:p>
          <w:p w:rsidR="005F2097" w:rsidRPr="00BD5BB8" w:rsidRDefault="005F2097" w:rsidP="005F2097">
            <w:pPr>
              <w:jc w:val="center"/>
              <w:rPr>
                <w:rFonts w:ascii="Times New Roman" w:hAnsi="Times New Roman" w:cs="Times New Roman"/>
                <w:b/>
              </w:rPr>
            </w:pPr>
            <w:r w:rsidRPr="00BD5BB8">
              <w:rPr>
                <w:rFonts w:ascii="Times New Roman" w:hAnsi="Times New Roman" w:cs="Times New Roman"/>
                <w:b/>
              </w:rPr>
              <w:t>Статистически райони</w:t>
            </w:r>
          </w:p>
        </w:tc>
        <w:tc>
          <w:tcPr>
            <w:tcW w:w="3275" w:type="dxa"/>
            <w:shd w:val="clear" w:color="auto" w:fill="92D050"/>
            <w:vAlign w:val="center"/>
          </w:tcPr>
          <w:p w:rsidR="005F2097" w:rsidRPr="00BD5BB8" w:rsidRDefault="005F2097" w:rsidP="005F2097">
            <w:pPr>
              <w:jc w:val="center"/>
              <w:rPr>
                <w:rFonts w:ascii="Times New Roman" w:hAnsi="Times New Roman" w:cs="Times New Roman"/>
                <w:b/>
                <w:bCs/>
              </w:rPr>
            </w:pPr>
            <w:r w:rsidRPr="00BD5BB8">
              <w:rPr>
                <w:rFonts w:ascii="Times New Roman" w:hAnsi="Times New Roman" w:cs="Times New Roman"/>
                <w:b/>
                <w:bCs/>
              </w:rPr>
              <w:t>Отношение на населението на възраст под 15 и на 65 и повече години към населението на възраст от 15 до 64 години - %</w:t>
            </w:r>
          </w:p>
        </w:tc>
        <w:tc>
          <w:tcPr>
            <w:tcW w:w="3544" w:type="dxa"/>
            <w:shd w:val="clear" w:color="auto" w:fill="92D050"/>
            <w:vAlign w:val="center"/>
          </w:tcPr>
          <w:p w:rsidR="005F2097" w:rsidRPr="00BD5BB8" w:rsidRDefault="005F2097" w:rsidP="005F2097">
            <w:pPr>
              <w:jc w:val="center"/>
              <w:rPr>
                <w:rFonts w:ascii="Times New Roman" w:hAnsi="Times New Roman" w:cs="Times New Roman"/>
                <w:b/>
                <w:bCs/>
              </w:rPr>
            </w:pPr>
            <w:r w:rsidRPr="00BD5BB8">
              <w:rPr>
                <w:rFonts w:ascii="Times New Roman" w:hAnsi="Times New Roman" w:cs="Times New Roman"/>
                <w:b/>
                <w:bCs/>
              </w:rPr>
              <w:t>Отношение на населението на възраст 65 и повече години към населението на възраст от 15 до 64 години - %</w:t>
            </w:r>
          </w:p>
        </w:tc>
      </w:tr>
      <w:tr w:rsidR="005F2097" w:rsidRPr="00BD5BB8" w:rsidTr="005F2097">
        <w:trPr>
          <w:trHeight w:hRule="exact" w:val="284"/>
        </w:trPr>
        <w:tc>
          <w:tcPr>
            <w:tcW w:w="2962" w:type="dxa"/>
            <w:shd w:val="clear" w:color="auto" w:fill="99FF33"/>
          </w:tcPr>
          <w:p w:rsidR="005F2097" w:rsidRPr="00BD5BB8" w:rsidRDefault="005F2097" w:rsidP="005F2097">
            <w:pPr>
              <w:jc w:val="center"/>
              <w:rPr>
                <w:rFonts w:ascii="Times New Roman" w:hAnsi="Times New Roman" w:cs="Times New Roman"/>
                <w:b/>
                <w:bCs/>
              </w:rPr>
            </w:pPr>
            <w:r w:rsidRPr="00BD5BB8">
              <w:rPr>
                <w:rFonts w:ascii="Times New Roman" w:hAnsi="Times New Roman" w:cs="Times New Roman"/>
                <w:b/>
                <w:bCs/>
              </w:rPr>
              <w:t>Общо за страната</w:t>
            </w:r>
          </w:p>
        </w:tc>
        <w:tc>
          <w:tcPr>
            <w:tcW w:w="3275" w:type="dxa"/>
            <w:shd w:val="clear" w:color="auto" w:fill="99FF33"/>
            <w:vAlign w:val="bottom"/>
          </w:tcPr>
          <w:p w:rsidR="005F2097" w:rsidRPr="00BD5BB8" w:rsidRDefault="005F2097" w:rsidP="003E0A6B">
            <w:pPr>
              <w:jc w:val="right"/>
              <w:rPr>
                <w:rFonts w:ascii="Times New Roman" w:hAnsi="Times New Roman" w:cs="Times New Roman"/>
                <w:b/>
                <w:bCs/>
              </w:rPr>
            </w:pPr>
            <w:r w:rsidRPr="00BD5BB8">
              <w:rPr>
                <w:rFonts w:ascii="Times New Roman" w:hAnsi="Times New Roman" w:cs="Times New Roman"/>
                <w:b/>
                <w:bCs/>
              </w:rPr>
              <w:t>5</w:t>
            </w:r>
            <w:r w:rsidR="003E0A6B" w:rsidRPr="00BD5BB8">
              <w:rPr>
                <w:rFonts w:ascii="Times New Roman" w:hAnsi="Times New Roman" w:cs="Times New Roman"/>
                <w:b/>
                <w:bCs/>
              </w:rPr>
              <w:t>5.5</w:t>
            </w:r>
          </w:p>
        </w:tc>
        <w:tc>
          <w:tcPr>
            <w:tcW w:w="3544" w:type="dxa"/>
            <w:shd w:val="clear" w:color="auto" w:fill="99FF33"/>
            <w:vAlign w:val="bottom"/>
          </w:tcPr>
          <w:p w:rsidR="005F2097" w:rsidRPr="00BD5BB8" w:rsidRDefault="005F2097" w:rsidP="003E0A6B">
            <w:pPr>
              <w:jc w:val="right"/>
              <w:rPr>
                <w:rFonts w:ascii="Times New Roman" w:hAnsi="Times New Roman" w:cs="Times New Roman"/>
                <w:b/>
                <w:bCs/>
              </w:rPr>
            </w:pPr>
            <w:r w:rsidRPr="00BD5BB8">
              <w:rPr>
                <w:rFonts w:ascii="Times New Roman" w:hAnsi="Times New Roman" w:cs="Times New Roman"/>
                <w:b/>
                <w:bCs/>
              </w:rPr>
              <w:t>3</w:t>
            </w:r>
            <w:r w:rsidR="003E0A6B" w:rsidRPr="00BD5BB8">
              <w:rPr>
                <w:rFonts w:ascii="Times New Roman" w:hAnsi="Times New Roman" w:cs="Times New Roman"/>
                <w:b/>
                <w:bCs/>
              </w:rPr>
              <w:t>3.2</w:t>
            </w:r>
          </w:p>
        </w:tc>
      </w:tr>
      <w:tr w:rsidR="005F2097" w:rsidRPr="00BD5BB8" w:rsidTr="005F2097">
        <w:trPr>
          <w:trHeight w:hRule="exact" w:val="265"/>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Северозападен</w:t>
            </w:r>
          </w:p>
        </w:tc>
        <w:tc>
          <w:tcPr>
            <w:tcW w:w="3275" w:type="dxa"/>
            <w:vAlign w:val="bottom"/>
          </w:tcPr>
          <w:p w:rsidR="005F2097" w:rsidRPr="00BD5BB8" w:rsidRDefault="005F2097" w:rsidP="003E0A6B">
            <w:pPr>
              <w:jc w:val="right"/>
              <w:rPr>
                <w:rFonts w:ascii="Times New Roman" w:hAnsi="Times New Roman" w:cs="Times New Roman"/>
                <w:bCs/>
              </w:rPr>
            </w:pPr>
            <w:r w:rsidRPr="00BD5BB8">
              <w:rPr>
                <w:rFonts w:ascii="Times New Roman" w:hAnsi="Times New Roman" w:cs="Times New Roman"/>
                <w:bCs/>
              </w:rPr>
              <w:t>6</w:t>
            </w:r>
            <w:r w:rsidR="003E0A6B" w:rsidRPr="00BD5BB8">
              <w:rPr>
                <w:rFonts w:ascii="Times New Roman" w:hAnsi="Times New Roman" w:cs="Times New Roman"/>
                <w:bCs/>
              </w:rPr>
              <w:t>5.8</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43.5</w:t>
            </w:r>
          </w:p>
        </w:tc>
      </w:tr>
      <w:tr w:rsidR="005F2097" w:rsidRPr="00BD5BB8" w:rsidTr="005F2097">
        <w:trPr>
          <w:trHeight w:hRule="exact" w:val="284"/>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Северен централен</w:t>
            </w:r>
          </w:p>
        </w:tc>
        <w:tc>
          <w:tcPr>
            <w:tcW w:w="3275"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58.3</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37.9</w:t>
            </w:r>
          </w:p>
        </w:tc>
      </w:tr>
      <w:tr w:rsidR="005F2097" w:rsidRPr="00BD5BB8" w:rsidTr="005F2097">
        <w:trPr>
          <w:trHeight w:hRule="exact" w:val="284"/>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Североизточен</w:t>
            </w:r>
          </w:p>
        </w:tc>
        <w:tc>
          <w:tcPr>
            <w:tcW w:w="3275"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53.8</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31.1</w:t>
            </w:r>
          </w:p>
        </w:tc>
      </w:tr>
      <w:tr w:rsidR="005F2097" w:rsidRPr="00BD5BB8" w:rsidTr="005F2097">
        <w:trPr>
          <w:trHeight w:hRule="exact" w:val="284"/>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Югоизточен</w:t>
            </w:r>
          </w:p>
        </w:tc>
        <w:tc>
          <w:tcPr>
            <w:tcW w:w="3275"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58.2</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33.1</w:t>
            </w:r>
          </w:p>
        </w:tc>
      </w:tr>
      <w:tr w:rsidR="005F2097" w:rsidRPr="00BD5BB8" w:rsidTr="005F2097">
        <w:trPr>
          <w:trHeight w:hRule="exact" w:val="284"/>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Югозападен</w:t>
            </w:r>
          </w:p>
        </w:tc>
        <w:tc>
          <w:tcPr>
            <w:tcW w:w="3275"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50.6</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29.2</w:t>
            </w:r>
          </w:p>
        </w:tc>
      </w:tr>
      <w:tr w:rsidR="005F2097" w:rsidRPr="00BD5BB8" w:rsidTr="005F2097">
        <w:trPr>
          <w:trHeight w:hRule="exact" w:val="284"/>
        </w:trPr>
        <w:tc>
          <w:tcPr>
            <w:tcW w:w="2962" w:type="dxa"/>
          </w:tcPr>
          <w:p w:rsidR="005F2097" w:rsidRPr="00BD5BB8" w:rsidRDefault="005F2097" w:rsidP="005F2097">
            <w:pPr>
              <w:jc w:val="center"/>
              <w:rPr>
                <w:rFonts w:ascii="Times New Roman" w:hAnsi="Times New Roman" w:cs="Times New Roman"/>
                <w:bCs/>
              </w:rPr>
            </w:pPr>
            <w:r w:rsidRPr="00BD5BB8">
              <w:rPr>
                <w:rFonts w:ascii="Times New Roman" w:hAnsi="Times New Roman" w:cs="Times New Roman"/>
                <w:bCs/>
              </w:rPr>
              <w:t>Южен централен</w:t>
            </w:r>
          </w:p>
        </w:tc>
        <w:tc>
          <w:tcPr>
            <w:tcW w:w="3275"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55.4</w:t>
            </w:r>
          </w:p>
        </w:tc>
        <w:tc>
          <w:tcPr>
            <w:tcW w:w="3544" w:type="dxa"/>
            <w:vAlign w:val="bottom"/>
          </w:tcPr>
          <w:p w:rsidR="005F2097" w:rsidRPr="00BD5BB8" w:rsidRDefault="003E0A6B" w:rsidP="005F2097">
            <w:pPr>
              <w:jc w:val="right"/>
              <w:rPr>
                <w:rFonts w:ascii="Times New Roman" w:hAnsi="Times New Roman" w:cs="Times New Roman"/>
                <w:bCs/>
              </w:rPr>
            </w:pPr>
            <w:r w:rsidRPr="00BD5BB8">
              <w:rPr>
                <w:rFonts w:ascii="Times New Roman" w:hAnsi="Times New Roman" w:cs="Times New Roman"/>
                <w:bCs/>
              </w:rPr>
              <w:t>32.9</w:t>
            </w:r>
          </w:p>
        </w:tc>
      </w:tr>
    </w:tbl>
    <w:p w:rsidR="005F2097" w:rsidRPr="00BD5BB8" w:rsidRDefault="005F2097" w:rsidP="005F2097">
      <w:pPr>
        <w:spacing w:after="0" w:line="240" w:lineRule="auto"/>
        <w:rPr>
          <w:rFonts w:ascii="Times New Roman" w:hAnsi="Times New Roman" w:cs="Times New Roman"/>
          <w:sz w:val="20"/>
          <w:szCs w:val="20"/>
        </w:rPr>
      </w:pPr>
      <w:r w:rsidRPr="00BD5BB8">
        <w:rPr>
          <w:rFonts w:ascii="Times New Roman" w:hAnsi="Times New Roman" w:cs="Times New Roman"/>
          <w:sz w:val="20"/>
          <w:szCs w:val="20"/>
        </w:rPr>
        <w:t>Източник: НСИ</w:t>
      </w:r>
    </w:p>
    <w:p w:rsidR="003E0A6B" w:rsidRPr="00BD5BB8" w:rsidRDefault="003E0A6B" w:rsidP="005F2097">
      <w:pPr>
        <w:spacing w:after="0" w:line="240" w:lineRule="auto"/>
        <w:rPr>
          <w:rFonts w:ascii="Times New Roman" w:hAnsi="Times New Roman" w:cs="Times New Roman"/>
          <w:sz w:val="20"/>
          <w:szCs w:val="20"/>
        </w:rPr>
      </w:pPr>
    </w:p>
    <w:p w:rsidR="00220B52" w:rsidRPr="00BD5BB8" w:rsidRDefault="00220B52" w:rsidP="00220B52">
      <w:pPr>
        <w:spacing w:after="0" w:line="240" w:lineRule="auto"/>
        <w:ind w:firstLine="709"/>
        <w:jc w:val="both"/>
        <w:rPr>
          <w:rFonts w:ascii="Times New Roman" w:eastAsia="Times New Roman" w:hAnsi="Times New Roman" w:cs="Times New Roman"/>
          <w:color w:val="000000" w:themeColor="text1"/>
          <w:sz w:val="24"/>
          <w:szCs w:val="24"/>
          <w:lang w:eastAsia="bg-BG"/>
        </w:rPr>
      </w:pPr>
      <w:r w:rsidRPr="00BD5BB8">
        <w:rPr>
          <w:rFonts w:ascii="Times New Roman" w:eastAsia="Times New Roman" w:hAnsi="Times New Roman" w:cs="Times New Roman"/>
          <w:color w:val="000000" w:themeColor="text1"/>
          <w:sz w:val="24"/>
          <w:szCs w:val="24"/>
          <w:lang w:eastAsia="bg-BG"/>
        </w:rPr>
        <w:t>В сравнение с 1990 г., през 2018 г. населението в под трудоспособна възраст е намаляло с 43</w:t>
      </w:r>
      <w:r w:rsidR="00572189" w:rsidRPr="00BD5BB8">
        <w:rPr>
          <w:rFonts w:ascii="Times New Roman" w:eastAsia="Times New Roman" w:hAnsi="Times New Roman" w:cs="Times New Roman"/>
          <w:color w:val="000000" w:themeColor="text1"/>
          <w:sz w:val="24"/>
          <w:szCs w:val="24"/>
          <w:lang w:eastAsia="bg-BG"/>
        </w:rPr>
        <w:t>.</w:t>
      </w:r>
      <w:r w:rsidRPr="00BD5BB8">
        <w:rPr>
          <w:rFonts w:ascii="Times New Roman" w:eastAsia="Times New Roman" w:hAnsi="Times New Roman" w:cs="Times New Roman"/>
          <w:color w:val="000000" w:themeColor="text1"/>
          <w:sz w:val="24"/>
          <w:szCs w:val="24"/>
          <w:lang w:eastAsia="bg-BG"/>
        </w:rPr>
        <w:t xml:space="preserve">1%, населението в трудоспособна възраст е намаляло с 12.6%, а населението в над трудоспособна възраст е намаляло с 12.9%. </w:t>
      </w:r>
    </w:p>
    <w:p w:rsidR="005F2097" w:rsidRPr="00BD5BB8" w:rsidRDefault="005F2097" w:rsidP="005F2097">
      <w:pPr>
        <w:spacing w:after="0" w:line="240" w:lineRule="auto"/>
        <w:jc w:val="center"/>
        <w:rPr>
          <w:rFonts w:ascii="Times New Roman" w:hAnsi="Times New Roman" w:cs="Times New Roman"/>
          <w:sz w:val="24"/>
          <w:szCs w:val="24"/>
        </w:rPr>
      </w:pPr>
    </w:p>
    <w:p w:rsidR="005F2097" w:rsidRPr="00BD5BB8" w:rsidRDefault="005F2097" w:rsidP="005F2097">
      <w:pPr>
        <w:spacing w:after="0" w:line="240" w:lineRule="auto"/>
        <w:jc w:val="center"/>
        <w:rPr>
          <w:rFonts w:ascii="Times New Roman" w:hAnsi="Times New Roman" w:cs="Times New Roman"/>
          <w:b/>
          <w:color w:val="000000" w:themeColor="text1"/>
          <w:sz w:val="24"/>
          <w:szCs w:val="24"/>
        </w:rPr>
      </w:pPr>
      <w:r w:rsidRPr="00BD5BB8">
        <w:rPr>
          <w:rFonts w:ascii="Times New Roman" w:hAnsi="Times New Roman" w:cs="Times New Roman"/>
          <w:b/>
          <w:sz w:val="24"/>
          <w:szCs w:val="24"/>
        </w:rPr>
        <w:t>Таблица 4:</w:t>
      </w:r>
      <w:r w:rsidRPr="00BD5BB8">
        <w:rPr>
          <w:rFonts w:ascii="Times New Roman" w:hAnsi="Times New Roman" w:cs="Times New Roman"/>
          <w:sz w:val="24"/>
          <w:szCs w:val="24"/>
        </w:rPr>
        <w:t xml:space="preserve"> </w:t>
      </w:r>
      <w:r w:rsidRPr="00BD5BB8">
        <w:rPr>
          <w:rFonts w:ascii="Times New Roman" w:hAnsi="Times New Roman" w:cs="Times New Roman"/>
          <w:b/>
          <w:color w:val="000000" w:themeColor="text1"/>
          <w:sz w:val="24"/>
          <w:szCs w:val="24"/>
        </w:rPr>
        <w:t>Население под, във, над трудоспособна възраст към 31.12.</w:t>
      </w:r>
      <w:r w:rsidR="00220B52" w:rsidRPr="00BD5BB8">
        <w:rPr>
          <w:rFonts w:ascii="Times New Roman" w:hAnsi="Times New Roman" w:cs="Times New Roman"/>
          <w:b/>
          <w:color w:val="000000" w:themeColor="text1"/>
          <w:sz w:val="24"/>
          <w:szCs w:val="24"/>
        </w:rPr>
        <w:t>2018 г.</w:t>
      </w:r>
      <w:r w:rsidRPr="00BD5BB8">
        <w:rPr>
          <w:rFonts w:ascii="Times New Roman" w:hAnsi="Times New Roman" w:cs="Times New Roman"/>
          <w:b/>
          <w:color w:val="000000" w:themeColor="text1"/>
          <w:sz w:val="24"/>
          <w:szCs w:val="24"/>
        </w:rPr>
        <w:t xml:space="preserve"> </w:t>
      </w:r>
    </w:p>
    <w:p w:rsidR="005F2097" w:rsidRPr="00BD5BB8" w:rsidRDefault="005F2097" w:rsidP="005F2097">
      <w:pPr>
        <w:spacing w:after="0" w:line="240" w:lineRule="auto"/>
        <w:jc w:val="center"/>
        <w:rPr>
          <w:rFonts w:ascii="Times New Roman" w:hAnsi="Times New Roman" w:cs="Times New Roman"/>
          <w:b/>
          <w:color w:val="000000" w:themeColor="text1"/>
          <w:sz w:val="24"/>
          <w:szCs w:val="24"/>
        </w:rPr>
      </w:pPr>
      <w:r w:rsidRPr="00BD5BB8">
        <w:rPr>
          <w:rFonts w:ascii="Times New Roman" w:hAnsi="Times New Roman" w:cs="Times New Roman"/>
          <w:b/>
          <w:color w:val="000000" w:themeColor="text1"/>
          <w:sz w:val="24"/>
          <w:szCs w:val="24"/>
        </w:rPr>
        <w:t>по статистически райони</w:t>
      </w:r>
    </w:p>
    <w:p w:rsidR="009954E8" w:rsidRPr="00BD5BB8" w:rsidRDefault="009954E8" w:rsidP="005F2097">
      <w:pPr>
        <w:spacing w:after="0" w:line="240" w:lineRule="auto"/>
        <w:jc w:val="center"/>
        <w:rPr>
          <w:rFonts w:ascii="Times New Roman" w:hAnsi="Times New Roman" w:cs="Times New Roman"/>
          <w:b/>
          <w:color w:val="000000" w:themeColor="text1"/>
          <w:sz w:val="24"/>
          <w:szCs w:val="24"/>
        </w:rPr>
      </w:pPr>
    </w:p>
    <w:tbl>
      <w:tblPr>
        <w:tblStyle w:val="TableGrid1"/>
        <w:tblW w:w="9072" w:type="dxa"/>
        <w:tblInd w:w="108" w:type="dxa"/>
        <w:shd w:val="clear" w:color="auto" w:fill="00CC99"/>
        <w:tblLayout w:type="fixed"/>
        <w:tblLook w:val="04A0" w:firstRow="1" w:lastRow="0" w:firstColumn="1" w:lastColumn="0" w:noHBand="0" w:noVBand="1"/>
      </w:tblPr>
      <w:tblGrid>
        <w:gridCol w:w="1843"/>
        <w:gridCol w:w="992"/>
        <w:gridCol w:w="993"/>
        <w:gridCol w:w="850"/>
        <w:gridCol w:w="851"/>
        <w:gridCol w:w="850"/>
        <w:gridCol w:w="851"/>
        <w:gridCol w:w="601"/>
        <w:gridCol w:w="249"/>
        <w:gridCol w:w="992"/>
      </w:tblGrid>
      <w:tr w:rsidR="00220B52" w:rsidRPr="00BD5BB8" w:rsidTr="00444B39">
        <w:tc>
          <w:tcPr>
            <w:tcW w:w="1843" w:type="dxa"/>
            <w:vMerge w:val="restart"/>
            <w:tcBorders>
              <w:right w:val="single" w:sz="4" w:space="0" w:color="auto"/>
            </w:tcBorders>
            <w:shd w:val="clear" w:color="auto" w:fill="00CC99"/>
          </w:tcPr>
          <w:p w:rsidR="00220B52" w:rsidRPr="00BD5BB8" w:rsidRDefault="00220B52" w:rsidP="00220B52">
            <w:pPr>
              <w:jc w:val="center"/>
              <w:rPr>
                <w:b/>
                <w:color w:val="000000" w:themeColor="text1"/>
                <w:sz w:val="24"/>
                <w:szCs w:val="24"/>
              </w:rPr>
            </w:pPr>
            <w:r w:rsidRPr="00BD5BB8">
              <w:rPr>
                <w:b/>
                <w:bCs/>
                <w:color w:val="000000" w:themeColor="text1"/>
              </w:rPr>
              <w:t xml:space="preserve">Статистически </w:t>
            </w:r>
            <w:r w:rsidRPr="00BD5BB8">
              <w:rPr>
                <w:b/>
                <w:bCs/>
                <w:color w:val="000000" w:themeColor="text1"/>
              </w:rPr>
              <w:lastRenderedPageBreak/>
              <w:t>райони</w:t>
            </w:r>
            <w:r w:rsidRPr="00BD5BB8">
              <w:rPr>
                <w:b/>
                <w:bCs/>
                <w:color w:val="000000" w:themeColor="text1"/>
              </w:rPr>
              <w:br/>
              <w:t>Възраст</w:t>
            </w:r>
          </w:p>
        </w:tc>
        <w:tc>
          <w:tcPr>
            <w:tcW w:w="5988" w:type="dxa"/>
            <w:gridSpan w:val="7"/>
            <w:tcBorders>
              <w:top w:val="single" w:sz="4" w:space="0" w:color="auto"/>
              <w:left w:val="single" w:sz="4" w:space="0" w:color="auto"/>
              <w:bottom w:val="single" w:sz="4" w:space="0" w:color="auto"/>
              <w:right w:val="nil"/>
            </w:tcBorders>
            <w:shd w:val="clear" w:color="auto" w:fill="00CC99"/>
          </w:tcPr>
          <w:p w:rsidR="00220B52" w:rsidRPr="00BD5BB8" w:rsidRDefault="00220B52" w:rsidP="00220B52">
            <w:pPr>
              <w:jc w:val="center"/>
              <w:rPr>
                <w:b/>
                <w:color w:val="000000" w:themeColor="text1"/>
                <w:sz w:val="24"/>
                <w:szCs w:val="24"/>
              </w:rPr>
            </w:pPr>
            <w:r w:rsidRPr="00BD5BB8">
              <w:rPr>
                <w:b/>
                <w:color w:val="000000" w:themeColor="text1"/>
              </w:rPr>
              <w:lastRenderedPageBreak/>
              <w:t>Години</w:t>
            </w:r>
          </w:p>
        </w:tc>
        <w:tc>
          <w:tcPr>
            <w:tcW w:w="1241" w:type="dxa"/>
            <w:gridSpan w:val="2"/>
            <w:tcBorders>
              <w:top w:val="single" w:sz="4" w:space="0" w:color="auto"/>
              <w:left w:val="nil"/>
              <w:bottom w:val="single" w:sz="4" w:space="0" w:color="auto"/>
              <w:right w:val="single" w:sz="4" w:space="0" w:color="auto"/>
            </w:tcBorders>
            <w:shd w:val="clear" w:color="auto" w:fill="00CC99"/>
          </w:tcPr>
          <w:p w:rsidR="00220B52" w:rsidRPr="00BD5BB8" w:rsidRDefault="00220B52" w:rsidP="00220B52">
            <w:pPr>
              <w:jc w:val="center"/>
              <w:rPr>
                <w:b/>
                <w:color w:val="000000" w:themeColor="text1"/>
              </w:rPr>
            </w:pPr>
          </w:p>
        </w:tc>
      </w:tr>
      <w:tr w:rsidR="00220B52" w:rsidRPr="00BD5BB8" w:rsidTr="00444B39">
        <w:tc>
          <w:tcPr>
            <w:tcW w:w="1843" w:type="dxa"/>
            <w:vMerge/>
            <w:shd w:val="clear" w:color="auto" w:fill="00CC99"/>
          </w:tcPr>
          <w:p w:rsidR="00220B52" w:rsidRPr="00BD5BB8" w:rsidRDefault="00220B52" w:rsidP="00220B52">
            <w:pPr>
              <w:jc w:val="center"/>
              <w:rPr>
                <w:b/>
                <w:color w:val="000000" w:themeColor="text1"/>
                <w:sz w:val="24"/>
                <w:szCs w:val="24"/>
              </w:rPr>
            </w:pPr>
          </w:p>
        </w:tc>
        <w:tc>
          <w:tcPr>
            <w:tcW w:w="992"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2011</w:t>
            </w:r>
          </w:p>
        </w:tc>
        <w:tc>
          <w:tcPr>
            <w:tcW w:w="993"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2012</w:t>
            </w:r>
          </w:p>
        </w:tc>
        <w:tc>
          <w:tcPr>
            <w:tcW w:w="850"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2013</w:t>
            </w:r>
          </w:p>
        </w:tc>
        <w:tc>
          <w:tcPr>
            <w:tcW w:w="851"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2014</w:t>
            </w:r>
          </w:p>
        </w:tc>
        <w:tc>
          <w:tcPr>
            <w:tcW w:w="850"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2015</w:t>
            </w:r>
          </w:p>
        </w:tc>
        <w:tc>
          <w:tcPr>
            <w:tcW w:w="851" w:type="dxa"/>
            <w:tcBorders>
              <w:top w:val="single" w:sz="4" w:space="0" w:color="auto"/>
            </w:tcBorders>
            <w:shd w:val="clear" w:color="auto" w:fill="00CC99"/>
            <w:vAlign w:val="bottom"/>
          </w:tcPr>
          <w:p w:rsidR="00220B52" w:rsidRPr="00BD5BB8" w:rsidRDefault="00220B52" w:rsidP="00220B52">
            <w:pPr>
              <w:jc w:val="center"/>
              <w:rPr>
                <w:b/>
                <w:bCs/>
                <w:color w:val="000000" w:themeColor="text1"/>
                <w:sz w:val="24"/>
                <w:szCs w:val="24"/>
              </w:rPr>
            </w:pPr>
            <w:r w:rsidRPr="00BD5BB8">
              <w:rPr>
                <w:b/>
                <w:bCs/>
                <w:color w:val="000000" w:themeColor="text1"/>
              </w:rPr>
              <w:t>2016</w:t>
            </w:r>
          </w:p>
        </w:tc>
        <w:tc>
          <w:tcPr>
            <w:tcW w:w="850" w:type="dxa"/>
            <w:gridSpan w:val="2"/>
            <w:tcBorders>
              <w:top w:val="single" w:sz="4" w:space="0" w:color="auto"/>
            </w:tcBorders>
            <w:shd w:val="clear" w:color="auto" w:fill="00CC99"/>
          </w:tcPr>
          <w:p w:rsidR="00220B52" w:rsidRPr="00BD5BB8" w:rsidRDefault="00220B52" w:rsidP="00220B52">
            <w:pPr>
              <w:jc w:val="center"/>
              <w:rPr>
                <w:b/>
                <w:color w:val="000000" w:themeColor="text1"/>
              </w:rPr>
            </w:pPr>
          </w:p>
          <w:p w:rsidR="00220B52" w:rsidRPr="00BD5BB8" w:rsidRDefault="00220B52" w:rsidP="00220B52">
            <w:pPr>
              <w:jc w:val="center"/>
              <w:rPr>
                <w:b/>
                <w:color w:val="000000" w:themeColor="text1"/>
              </w:rPr>
            </w:pPr>
            <w:r w:rsidRPr="00BD5BB8">
              <w:rPr>
                <w:b/>
                <w:color w:val="000000" w:themeColor="text1"/>
              </w:rPr>
              <w:t>2017</w:t>
            </w:r>
          </w:p>
        </w:tc>
        <w:tc>
          <w:tcPr>
            <w:tcW w:w="992" w:type="dxa"/>
            <w:tcBorders>
              <w:top w:val="single" w:sz="4" w:space="0" w:color="auto"/>
            </w:tcBorders>
            <w:shd w:val="clear" w:color="auto" w:fill="00CC99"/>
          </w:tcPr>
          <w:p w:rsidR="00220B52" w:rsidRPr="00BD5BB8" w:rsidRDefault="00220B52" w:rsidP="00220B52">
            <w:pPr>
              <w:jc w:val="center"/>
              <w:rPr>
                <w:b/>
                <w:color w:val="000000" w:themeColor="text1"/>
              </w:rPr>
            </w:pPr>
          </w:p>
          <w:p w:rsidR="00220B52" w:rsidRPr="00BD5BB8" w:rsidRDefault="00220B52" w:rsidP="00220B52">
            <w:pPr>
              <w:jc w:val="center"/>
              <w:rPr>
                <w:b/>
                <w:color w:val="000000" w:themeColor="text1"/>
              </w:rPr>
            </w:pPr>
            <w:r w:rsidRPr="00BD5BB8">
              <w:rPr>
                <w:b/>
                <w:color w:val="000000" w:themeColor="text1"/>
              </w:rPr>
              <w:t>2018</w:t>
            </w:r>
          </w:p>
        </w:tc>
      </w:tr>
    </w:tbl>
    <w:tbl>
      <w:tblPr>
        <w:tblW w:w="9072" w:type="dxa"/>
        <w:tblInd w:w="70" w:type="dxa"/>
        <w:tblLayout w:type="fixed"/>
        <w:tblCellMar>
          <w:left w:w="70" w:type="dxa"/>
          <w:right w:w="70" w:type="dxa"/>
        </w:tblCellMar>
        <w:tblLook w:val="04A0" w:firstRow="1" w:lastRow="0" w:firstColumn="1" w:lastColumn="0" w:noHBand="0" w:noVBand="1"/>
      </w:tblPr>
      <w:tblGrid>
        <w:gridCol w:w="1843"/>
        <w:gridCol w:w="992"/>
        <w:gridCol w:w="993"/>
        <w:gridCol w:w="850"/>
        <w:gridCol w:w="851"/>
        <w:gridCol w:w="850"/>
        <w:gridCol w:w="851"/>
        <w:gridCol w:w="850"/>
        <w:gridCol w:w="992"/>
      </w:tblGrid>
      <w:tr w:rsidR="00220B52" w:rsidRPr="00BD5BB8" w:rsidTr="00BB59B6">
        <w:trPr>
          <w:trHeight w:val="214"/>
        </w:trPr>
        <w:tc>
          <w:tcPr>
            <w:tcW w:w="1843" w:type="dxa"/>
            <w:tcBorders>
              <w:top w:val="single" w:sz="4" w:space="0" w:color="auto"/>
              <w:left w:val="single" w:sz="4" w:space="0" w:color="auto"/>
              <w:bottom w:val="single" w:sz="4" w:space="0" w:color="auto"/>
              <w:right w:val="single" w:sz="4" w:space="0" w:color="auto"/>
            </w:tcBorders>
            <w:shd w:val="clear" w:color="auto" w:fill="00FF99"/>
            <w:noWrap/>
            <w:vAlign w:val="bottom"/>
            <w:hideMark/>
          </w:tcPr>
          <w:p w:rsidR="00220B52" w:rsidRPr="00BD5BB8" w:rsidRDefault="00220B52" w:rsidP="009954E8">
            <w:pPr>
              <w:spacing w:after="0" w:line="240" w:lineRule="auto"/>
              <w:ind w:left="-212" w:firstLine="142"/>
              <w:jc w:val="center"/>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lastRenderedPageBreak/>
              <w:t>Общо</w:t>
            </w:r>
          </w:p>
        </w:tc>
        <w:tc>
          <w:tcPr>
            <w:tcW w:w="992" w:type="dxa"/>
            <w:tcBorders>
              <w:top w:val="single" w:sz="4" w:space="0" w:color="auto"/>
              <w:left w:val="single" w:sz="4" w:space="0" w:color="auto"/>
              <w:bottom w:val="single" w:sz="4" w:space="0" w:color="auto"/>
              <w:right w:val="single" w:sz="4" w:space="0" w:color="auto"/>
            </w:tcBorders>
            <w:shd w:val="clear" w:color="auto" w:fill="00FF99"/>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7327224</w:t>
            </w:r>
          </w:p>
        </w:tc>
        <w:tc>
          <w:tcPr>
            <w:tcW w:w="993" w:type="dxa"/>
            <w:tcBorders>
              <w:top w:val="single" w:sz="4" w:space="0" w:color="auto"/>
              <w:left w:val="single" w:sz="4" w:space="0" w:color="auto"/>
              <w:bottom w:val="single" w:sz="4" w:space="0" w:color="auto"/>
              <w:right w:val="single" w:sz="4" w:space="0" w:color="auto"/>
            </w:tcBorders>
            <w:shd w:val="clear" w:color="auto" w:fill="00FF99"/>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7284552</w:t>
            </w:r>
          </w:p>
        </w:tc>
        <w:tc>
          <w:tcPr>
            <w:tcW w:w="850" w:type="dxa"/>
            <w:tcBorders>
              <w:top w:val="single" w:sz="4" w:space="0" w:color="auto"/>
              <w:left w:val="single" w:sz="4" w:space="0" w:color="auto"/>
              <w:bottom w:val="single" w:sz="4" w:space="0" w:color="auto"/>
              <w:right w:val="single" w:sz="4" w:space="0" w:color="auto"/>
            </w:tcBorders>
            <w:shd w:val="clear" w:color="auto" w:fill="00FF99"/>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7245677</w:t>
            </w:r>
          </w:p>
        </w:tc>
        <w:tc>
          <w:tcPr>
            <w:tcW w:w="851" w:type="dxa"/>
            <w:tcBorders>
              <w:top w:val="single" w:sz="4" w:space="0" w:color="auto"/>
              <w:left w:val="single" w:sz="4" w:space="0" w:color="auto"/>
              <w:bottom w:val="single" w:sz="4" w:space="0" w:color="auto"/>
              <w:right w:val="single" w:sz="4" w:space="0" w:color="auto"/>
            </w:tcBorders>
            <w:shd w:val="clear" w:color="auto" w:fill="00FF99"/>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7202198</w:t>
            </w:r>
          </w:p>
        </w:tc>
        <w:tc>
          <w:tcPr>
            <w:tcW w:w="850" w:type="dxa"/>
            <w:tcBorders>
              <w:top w:val="single" w:sz="4" w:space="0" w:color="auto"/>
              <w:left w:val="single" w:sz="4" w:space="0" w:color="auto"/>
              <w:bottom w:val="single" w:sz="4" w:space="0" w:color="auto"/>
              <w:right w:val="single" w:sz="4" w:space="0" w:color="auto"/>
            </w:tcBorders>
            <w:shd w:val="clear" w:color="auto" w:fill="00FF99"/>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7153784</w:t>
            </w:r>
          </w:p>
        </w:tc>
        <w:tc>
          <w:tcPr>
            <w:tcW w:w="851" w:type="dxa"/>
            <w:tcBorders>
              <w:top w:val="single" w:sz="4" w:space="0" w:color="auto"/>
              <w:left w:val="single" w:sz="4" w:space="0" w:color="auto"/>
              <w:bottom w:val="single" w:sz="4" w:space="0" w:color="auto"/>
              <w:right w:val="single" w:sz="4" w:space="0" w:color="auto"/>
            </w:tcBorders>
            <w:shd w:val="clear" w:color="auto" w:fill="00FF99"/>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7101859</w:t>
            </w:r>
          </w:p>
        </w:tc>
        <w:tc>
          <w:tcPr>
            <w:tcW w:w="850" w:type="dxa"/>
            <w:tcBorders>
              <w:top w:val="single" w:sz="4" w:space="0" w:color="auto"/>
              <w:left w:val="single" w:sz="4" w:space="0" w:color="auto"/>
              <w:bottom w:val="single" w:sz="4" w:space="0" w:color="auto"/>
              <w:right w:val="single" w:sz="4" w:space="0" w:color="auto"/>
            </w:tcBorders>
            <w:shd w:val="clear" w:color="auto" w:fill="00FF99"/>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7050034</w:t>
            </w:r>
          </w:p>
        </w:tc>
        <w:tc>
          <w:tcPr>
            <w:tcW w:w="992" w:type="dxa"/>
            <w:tcBorders>
              <w:top w:val="single" w:sz="4" w:space="0" w:color="auto"/>
              <w:left w:val="single" w:sz="4" w:space="0" w:color="auto"/>
              <w:bottom w:val="single" w:sz="4" w:space="0" w:color="auto"/>
              <w:right w:val="single" w:sz="4" w:space="0" w:color="auto"/>
            </w:tcBorders>
            <w:shd w:val="clear" w:color="auto" w:fill="00FF99"/>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7000039</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BG31 Северозападен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836601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823469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810401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797142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783909</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769623</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755956</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742304</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116353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115084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113910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113119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111254</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109406</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108340</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107143</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475964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470932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462484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450903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441528</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432422</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422671</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413699</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244284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237453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234007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233120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231127</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227795</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224945</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221462</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BG32 Северен централен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853468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844511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835813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825536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815441</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805441</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794998</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784168</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ind w:leftChars="-32" w:left="2" w:hangingChars="36" w:hanging="72"/>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111973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111376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111351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111221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110098</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109302</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108636</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107602</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ind w:leftChars="-31" w:left="2" w:hangingChars="35" w:hanging="70"/>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515766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511628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505300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493950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485108</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477015</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468023</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459820</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225729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221507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219162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220365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220235</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219124</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218339</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216746</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BG33 Североизточен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961965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957460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954536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949957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944458</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939262</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933705</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929035</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ind w:leftChars="-31" w:left="2" w:hangingChars="35" w:hanging="70"/>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145442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145737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146779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147539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146720</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146208</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145947</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145737</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600965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598770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595627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586959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580675</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575629</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569369</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564222</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215558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212953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212130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215459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217063</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217425</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218389</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219076</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BG34 Югоизточен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1072850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1067981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1063690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1058515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1052575</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1046125</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1039549</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1032079</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169582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170253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171849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173606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173307</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172908</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173792</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173928</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652488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650245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645572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635471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628075</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622358</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614056</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606228</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250780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247483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246269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249438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251193</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250859</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251701</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251923</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BG41 Югозападен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2131233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2128783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2127618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2125212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2121185</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2115344</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2108394</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2102205</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289520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293421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298247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303943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307089</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309855</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313250</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315961</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1367125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1367110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1364122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1351157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1340193</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1332492</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1320647</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1311832</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474588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468252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465249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470112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473903</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472997</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474497</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474412</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220B52">
            <w:pPr>
              <w:spacing w:after="0" w:line="240" w:lineRule="auto"/>
              <w:rPr>
                <w:rFonts w:ascii="Times New Roman" w:eastAsia="Times New Roman" w:hAnsi="Times New Roman" w:cs="Times New Roman"/>
                <w:b/>
                <w:bCs/>
                <w:color w:val="000000" w:themeColor="text1"/>
                <w:sz w:val="20"/>
                <w:szCs w:val="20"/>
                <w:lang w:eastAsia="bg-BG"/>
              </w:rPr>
            </w:pPr>
            <w:r w:rsidRPr="00BD5BB8">
              <w:rPr>
                <w:rFonts w:ascii="Times New Roman" w:eastAsia="Times New Roman" w:hAnsi="Times New Roman" w:cs="Times New Roman"/>
                <w:b/>
                <w:bCs/>
                <w:color w:val="000000" w:themeColor="text1"/>
                <w:sz w:val="20"/>
                <w:szCs w:val="20"/>
                <w:lang w:eastAsia="bg-BG"/>
              </w:rPr>
              <w:t>BG42 Южен централен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1471107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1462348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1453619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1445836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themeColor="text1"/>
                <w:sz w:val="20"/>
                <w:szCs w:val="20"/>
                <w:lang w:eastAsia="bg-BG"/>
              </w:rPr>
              <w:t>1436216</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1426064</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1417432</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1410248</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Под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212040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212199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213668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215307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215462</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215026</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216028</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216741</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В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910461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906332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898528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884934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873526</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864520</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853737</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845108</w:t>
            </w:r>
          </w:p>
        </w:tc>
      </w:tr>
      <w:tr w:rsidR="00444B39" w:rsidRPr="00BD5BB8" w:rsidTr="00BB59B6">
        <w:trPr>
          <w:trHeight w:val="290"/>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0B52" w:rsidRPr="00BD5BB8" w:rsidRDefault="00220B52" w:rsidP="009954E8">
            <w:pPr>
              <w:spacing w:after="0" w:line="240" w:lineRule="auto"/>
              <w:rPr>
                <w:rFonts w:ascii="Times New Roman" w:eastAsia="Times New Roman" w:hAnsi="Times New Roman" w:cs="Times New Roman"/>
                <w:color w:val="000000" w:themeColor="text1"/>
                <w:sz w:val="20"/>
                <w:szCs w:val="20"/>
                <w:lang w:eastAsia="bg-BG"/>
              </w:rPr>
            </w:pPr>
            <w:r w:rsidRPr="00BD5BB8">
              <w:rPr>
                <w:rFonts w:ascii="Times New Roman" w:eastAsia="Times New Roman" w:hAnsi="Times New Roman" w:cs="Times New Roman"/>
                <w:color w:val="000000" w:themeColor="text1"/>
                <w:sz w:val="20"/>
                <w:szCs w:val="20"/>
                <w:lang w:eastAsia="bg-BG"/>
              </w:rPr>
              <w:t>Над трудоспособна възраст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348606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343817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341423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345595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themeColor="text1"/>
                <w:sz w:val="20"/>
                <w:szCs w:val="20"/>
                <w:lang w:eastAsia="bg-BG"/>
              </w:rPr>
              <w:t>347228</w:t>
            </w:r>
          </w:p>
        </w:tc>
        <w:tc>
          <w:tcPr>
            <w:tcW w:w="851"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346518</w:t>
            </w:r>
          </w:p>
        </w:tc>
        <w:tc>
          <w:tcPr>
            <w:tcW w:w="850"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347667</w:t>
            </w:r>
          </w:p>
        </w:tc>
        <w:tc>
          <w:tcPr>
            <w:tcW w:w="992" w:type="dxa"/>
            <w:tcBorders>
              <w:top w:val="single" w:sz="4" w:space="0" w:color="auto"/>
              <w:left w:val="single" w:sz="4" w:space="0" w:color="auto"/>
              <w:bottom w:val="single" w:sz="4" w:space="0" w:color="auto"/>
              <w:right w:val="single" w:sz="4" w:space="0" w:color="auto"/>
            </w:tcBorders>
            <w:vAlign w:val="center"/>
          </w:tcPr>
          <w:p w:rsidR="00220B52" w:rsidRPr="00BD5BB8" w:rsidRDefault="00220B52" w:rsidP="00220B52">
            <w:pPr>
              <w:spacing w:after="0" w:line="240" w:lineRule="auto"/>
              <w:jc w:val="right"/>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348399</w:t>
            </w:r>
          </w:p>
        </w:tc>
      </w:tr>
    </w:tbl>
    <w:p w:rsidR="00220B52" w:rsidRPr="00BD5BB8" w:rsidRDefault="00220B52" w:rsidP="00220B52">
      <w:pPr>
        <w:autoSpaceDE w:val="0"/>
        <w:autoSpaceDN w:val="0"/>
        <w:adjustRightInd w:val="0"/>
        <w:spacing w:after="0" w:line="240" w:lineRule="auto"/>
        <w:jc w:val="both"/>
        <w:rPr>
          <w:rFonts w:ascii="Times New Roman" w:eastAsia="Times New Roman" w:hAnsi="Times New Roman" w:cs="Times New Roman"/>
          <w:color w:val="000000" w:themeColor="text1"/>
          <w:sz w:val="20"/>
          <w:szCs w:val="24"/>
        </w:rPr>
      </w:pPr>
      <w:r w:rsidRPr="00BD5BB8">
        <w:rPr>
          <w:rFonts w:ascii="Times New Roman" w:eastAsia="Times New Roman" w:hAnsi="Times New Roman" w:cs="Times New Roman"/>
          <w:color w:val="000000" w:themeColor="text1"/>
          <w:sz w:val="20"/>
          <w:szCs w:val="24"/>
        </w:rPr>
        <w:t>Източник: НСИ</w:t>
      </w:r>
    </w:p>
    <w:p w:rsidR="009954E8" w:rsidRPr="00BD5BB8" w:rsidRDefault="009954E8" w:rsidP="005F2097">
      <w:pPr>
        <w:spacing w:after="0" w:line="240" w:lineRule="auto"/>
        <w:ind w:firstLine="709"/>
        <w:jc w:val="both"/>
        <w:rPr>
          <w:rFonts w:ascii="Times New Roman" w:hAnsi="Times New Roman" w:cs="Times New Roman"/>
          <w:b/>
          <w:sz w:val="24"/>
          <w:szCs w:val="24"/>
        </w:rPr>
      </w:pPr>
    </w:p>
    <w:p w:rsidR="005F2097" w:rsidRPr="00BD5BB8" w:rsidRDefault="005F2097" w:rsidP="005F2097">
      <w:pPr>
        <w:spacing w:after="0" w:line="240" w:lineRule="auto"/>
        <w:ind w:firstLine="709"/>
        <w:jc w:val="both"/>
        <w:rPr>
          <w:rFonts w:ascii="Times New Roman" w:hAnsi="Times New Roman" w:cs="Times New Roman"/>
          <w:color w:val="000000"/>
          <w:sz w:val="24"/>
          <w:szCs w:val="24"/>
        </w:rPr>
      </w:pPr>
      <w:r w:rsidRPr="00BD5BB8">
        <w:rPr>
          <w:rFonts w:ascii="Times New Roman" w:hAnsi="Times New Roman" w:cs="Times New Roman"/>
          <w:sz w:val="24"/>
          <w:szCs w:val="24"/>
        </w:rPr>
        <w:t>Докладът на Европейската комисия за застаряването от 201</w:t>
      </w:r>
      <w:r w:rsidR="001A1252" w:rsidRPr="00BD5BB8">
        <w:rPr>
          <w:rFonts w:ascii="Times New Roman" w:hAnsi="Times New Roman" w:cs="Times New Roman"/>
          <w:sz w:val="24"/>
          <w:szCs w:val="24"/>
        </w:rPr>
        <w:t>8</w:t>
      </w:r>
      <w:r w:rsidRPr="00BD5BB8">
        <w:rPr>
          <w:rFonts w:ascii="Times New Roman" w:hAnsi="Times New Roman" w:cs="Times New Roman"/>
          <w:sz w:val="24"/>
          <w:szCs w:val="24"/>
        </w:rPr>
        <w:t xml:space="preserve"> г.</w:t>
      </w:r>
      <w:r w:rsidRPr="00BD5BB8">
        <w:rPr>
          <w:rFonts w:ascii="Times New Roman" w:hAnsi="Times New Roman" w:cs="Times New Roman"/>
          <w:sz w:val="24"/>
          <w:szCs w:val="24"/>
          <w:vertAlign w:val="superscript"/>
        </w:rPr>
        <w:footnoteReference w:id="20"/>
      </w:r>
      <w:r w:rsidRPr="00BD5BB8">
        <w:rPr>
          <w:rFonts w:ascii="Times New Roman" w:hAnsi="Times New Roman" w:cs="Times New Roman"/>
          <w:sz w:val="24"/>
          <w:szCs w:val="24"/>
        </w:rPr>
        <w:t xml:space="preserve"> </w:t>
      </w:r>
      <w:r w:rsidRPr="00BD5BB8">
        <w:rPr>
          <w:rFonts w:ascii="Times New Roman" w:hAnsi="Times New Roman" w:cs="Times New Roman"/>
          <w:color w:val="000000"/>
          <w:sz w:val="24"/>
          <w:szCs w:val="24"/>
        </w:rPr>
        <w:t xml:space="preserve">установява трайни промени във възрастовата структура на населението на Република България с </w:t>
      </w:r>
      <w:r w:rsidRPr="00BD5BB8">
        <w:rPr>
          <w:rFonts w:ascii="Times New Roman" w:hAnsi="Times New Roman" w:cs="Times New Roman"/>
          <w:color w:val="000000"/>
          <w:sz w:val="24"/>
          <w:szCs w:val="24"/>
        </w:rPr>
        <w:lastRenderedPageBreak/>
        <w:t>акцент върху увеличаването на процентния дял на възрастното население. Към 20</w:t>
      </w:r>
      <w:r w:rsidR="00BA1A69" w:rsidRPr="00BD5BB8">
        <w:rPr>
          <w:rFonts w:ascii="Times New Roman" w:hAnsi="Times New Roman" w:cs="Times New Roman"/>
          <w:color w:val="000000"/>
          <w:sz w:val="24"/>
          <w:szCs w:val="24"/>
        </w:rPr>
        <w:t>7</w:t>
      </w:r>
      <w:r w:rsidRPr="00BD5BB8">
        <w:rPr>
          <w:rFonts w:ascii="Times New Roman" w:hAnsi="Times New Roman" w:cs="Times New Roman"/>
          <w:color w:val="000000"/>
          <w:sz w:val="24"/>
          <w:szCs w:val="24"/>
        </w:rPr>
        <w:t>0 г. населението в трудоспособна възраст 15-64 г. като процент от общото население се очаква да намалее, а възрастното население на 65 и повече години като процент от общото население се очаква да се увеличи. Много сериозно изменение се очаква в коефициента на възрастова зависимост, която се изразява в процентно съотношение между населението на възраст на 65 и повече години и населението на възраст 15-64 г. Промяната в коефициента на възрастовата зависимост в България се очаква да бъде от най-неблагоприятните сред държавите-членки на Европейския съюз – съотношението на населението на възраст 65 и повече години към населението на възраст 15-64 години към 20</w:t>
      </w:r>
      <w:r w:rsidR="001A1252" w:rsidRPr="00BD5BB8">
        <w:rPr>
          <w:rFonts w:ascii="Times New Roman" w:hAnsi="Times New Roman" w:cs="Times New Roman"/>
          <w:color w:val="000000"/>
          <w:sz w:val="24"/>
          <w:szCs w:val="24"/>
        </w:rPr>
        <w:t>7</w:t>
      </w:r>
      <w:r w:rsidRPr="00BD5BB8">
        <w:rPr>
          <w:rFonts w:ascii="Times New Roman" w:hAnsi="Times New Roman" w:cs="Times New Roman"/>
          <w:color w:val="000000"/>
          <w:sz w:val="24"/>
          <w:szCs w:val="24"/>
        </w:rPr>
        <w:t>0 г. ще се измени до по-малко от двама човека в трудоспособна възраст към един възрастен човек.</w:t>
      </w:r>
    </w:p>
    <w:p w:rsidR="005F2097" w:rsidRPr="00BD5BB8" w:rsidRDefault="005F2097" w:rsidP="005F2097">
      <w:pPr>
        <w:spacing w:after="0" w:line="240" w:lineRule="auto"/>
        <w:ind w:firstLine="709"/>
        <w:jc w:val="both"/>
        <w:rPr>
          <w:rFonts w:ascii="Times New Roman" w:hAnsi="Times New Roman" w:cs="Times New Roman"/>
          <w:b/>
          <w:color w:val="000000"/>
          <w:sz w:val="24"/>
          <w:szCs w:val="24"/>
        </w:rPr>
      </w:pPr>
    </w:p>
    <w:p w:rsidR="005F2097" w:rsidRPr="00BD5BB8" w:rsidRDefault="005F2097" w:rsidP="00E7186B">
      <w:pPr>
        <w:numPr>
          <w:ilvl w:val="2"/>
          <w:numId w:val="5"/>
        </w:numPr>
        <w:spacing w:after="0" w:line="240" w:lineRule="auto"/>
        <w:contextualSpacing/>
        <w:jc w:val="center"/>
        <w:rPr>
          <w:rFonts w:ascii="Times New Roman" w:eastAsia="Times New Roman" w:hAnsi="Times New Roman" w:cs="Times New Roman"/>
          <w:b/>
          <w:sz w:val="20"/>
          <w:szCs w:val="20"/>
          <w:lang w:eastAsia="bg-BG"/>
        </w:rPr>
      </w:pPr>
      <w:r w:rsidRPr="00BD5BB8">
        <w:rPr>
          <w:rFonts w:ascii="Times New Roman" w:eastAsia="Times New Roman" w:hAnsi="Times New Roman" w:cs="Times New Roman"/>
          <w:b/>
          <w:sz w:val="24"/>
          <w:szCs w:val="24"/>
          <w:lang w:eastAsia="bg-BG"/>
        </w:rPr>
        <w:t>Здравен статус на населението</w:t>
      </w:r>
      <w:r w:rsidRPr="00BD5BB8">
        <w:rPr>
          <w:rFonts w:ascii="Times New Roman" w:eastAsiaTheme="majorEastAsia" w:hAnsi="Times New Roman" w:cs="Times New Roman"/>
          <w:caps/>
          <w:sz w:val="20"/>
          <w:szCs w:val="20"/>
          <w:vertAlign w:val="superscript"/>
          <w:lang w:eastAsia="bg-BG"/>
        </w:rPr>
        <w:footnoteReference w:id="21"/>
      </w:r>
    </w:p>
    <w:p w:rsidR="005F2097" w:rsidRPr="00BD5BB8" w:rsidRDefault="005F2097" w:rsidP="005F2097">
      <w:pPr>
        <w:autoSpaceDE w:val="0"/>
        <w:autoSpaceDN w:val="0"/>
        <w:adjustRightInd w:val="0"/>
        <w:spacing w:after="0" w:line="240" w:lineRule="auto"/>
        <w:jc w:val="both"/>
        <w:rPr>
          <w:rFonts w:ascii="Times New Roman" w:hAnsi="Times New Roman" w:cs="Times New Roman"/>
          <w:b/>
          <w:sz w:val="24"/>
          <w:szCs w:val="24"/>
        </w:rPr>
      </w:pPr>
    </w:p>
    <w:p w:rsidR="005F2097" w:rsidRPr="00BD5BB8" w:rsidRDefault="005F2097" w:rsidP="005F2097">
      <w:pPr>
        <w:autoSpaceDE w:val="0"/>
        <w:autoSpaceDN w:val="0"/>
        <w:adjustRightInd w:val="0"/>
        <w:spacing w:after="0" w:line="240" w:lineRule="auto"/>
        <w:jc w:val="center"/>
        <w:rPr>
          <w:rFonts w:ascii="Times New Roman" w:hAnsi="Times New Roman" w:cs="Times New Roman"/>
          <w:sz w:val="24"/>
          <w:szCs w:val="24"/>
        </w:rPr>
      </w:pPr>
      <w:r w:rsidRPr="00BD5BB8">
        <w:rPr>
          <w:rFonts w:ascii="Times New Roman" w:hAnsi="Times New Roman" w:cs="Times New Roman"/>
          <w:b/>
          <w:bCs/>
          <w:sz w:val="24"/>
          <w:szCs w:val="24"/>
        </w:rPr>
        <w:t>Обща заболяемост по обръщаемост на населението към лечебните заведения</w:t>
      </w:r>
    </w:p>
    <w:p w:rsidR="005F2097" w:rsidRPr="00BD5BB8" w:rsidRDefault="005F2097" w:rsidP="005F2097">
      <w:pPr>
        <w:autoSpaceDE w:val="0"/>
        <w:autoSpaceDN w:val="0"/>
        <w:adjustRightInd w:val="0"/>
        <w:spacing w:after="0" w:line="240" w:lineRule="auto"/>
        <w:ind w:firstLine="709"/>
        <w:jc w:val="both"/>
        <w:rPr>
          <w:rFonts w:ascii="Times New Roman" w:hAnsi="Times New Roman" w:cs="Times New Roman"/>
          <w:sz w:val="24"/>
          <w:szCs w:val="24"/>
        </w:rPr>
      </w:pPr>
    </w:p>
    <w:p w:rsidR="009954E8" w:rsidRPr="00BD5BB8" w:rsidRDefault="009954E8" w:rsidP="009954E8">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От 2001 до 2018 г. включително липсва достатъчно достоверна информация за динамиката на общата заболяемост на населението, за нейната структура и за интензитета й по възрастови групи, поради липсата на адекватна система за контрол на медицинската информация след настъпилите през периода промени в структурата и организацията на системата на здравеопазване. </w:t>
      </w:r>
    </w:p>
    <w:p w:rsidR="009954E8" w:rsidRPr="00BD5BB8" w:rsidRDefault="009954E8" w:rsidP="009954E8">
      <w:pPr>
        <w:shd w:val="clear" w:color="auto" w:fill="FFFFFF"/>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Изключение от горното представлява статистиката за заболеваемостта по обръщаемостта на населението към лечебните заведения по повод на заболявания, подлежащи на задължително съобщаване: инфекциозни болести, туберкулоза, злокачествени новообразувания и др.</w:t>
      </w:r>
    </w:p>
    <w:p w:rsidR="009954E8" w:rsidRPr="00BD5BB8" w:rsidRDefault="009954E8" w:rsidP="005F2097">
      <w:pPr>
        <w:spacing w:after="0" w:line="240" w:lineRule="auto"/>
        <w:jc w:val="center"/>
        <w:rPr>
          <w:rFonts w:ascii="Times New Roman" w:hAnsi="Times New Roman" w:cs="Times New Roman"/>
          <w:b/>
          <w:bCs/>
          <w:sz w:val="24"/>
          <w:szCs w:val="24"/>
        </w:rPr>
      </w:pPr>
    </w:p>
    <w:p w:rsidR="005F2097" w:rsidRPr="00BD5BB8" w:rsidRDefault="009954E8" w:rsidP="005F2097">
      <w:pPr>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Заболяемост от някои болести, подлежащи на задължително съобщаване</w:t>
      </w:r>
    </w:p>
    <w:p w:rsidR="009954E8" w:rsidRPr="00BD5BB8" w:rsidRDefault="009954E8" w:rsidP="005F2097">
      <w:pPr>
        <w:spacing w:after="0" w:line="240" w:lineRule="auto"/>
        <w:jc w:val="center"/>
        <w:rPr>
          <w:rFonts w:ascii="Times New Roman" w:hAnsi="Times New Roman" w:cs="Times New Roman"/>
          <w:sz w:val="24"/>
          <w:szCs w:val="24"/>
        </w:rPr>
      </w:pPr>
    </w:p>
    <w:p w:rsidR="009954E8" w:rsidRPr="00BD5BB8" w:rsidRDefault="009954E8" w:rsidP="009954E8">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През 2018 г. намалява заболяемостта от </w:t>
      </w:r>
      <w:r w:rsidRPr="00BD5BB8">
        <w:rPr>
          <w:rFonts w:ascii="Times New Roman" w:hAnsi="Times New Roman" w:cs="Times New Roman"/>
          <w:b/>
          <w:bCs/>
          <w:i/>
          <w:iCs/>
          <w:sz w:val="24"/>
          <w:szCs w:val="24"/>
        </w:rPr>
        <w:t xml:space="preserve">злокачествени новообразувания </w:t>
      </w:r>
      <w:r w:rsidRPr="00BD5BB8">
        <w:rPr>
          <w:rFonts w:ascii="Times New Roman" w:hAnsi="Times New Roman" w:cs="Times New Roman"/>
          <w:sz w:val="24"/>
          <w:szCs w:val="24"/>
        </w:rPr>
        <w:t xml:space="preserve">спрямо предходната година. Показателят е 406.7%ооо (на 100 000 души). Най-висока е заболяемостта – от рак на храносмилателните органи и от рак на млечната жлеза при жените (89.5%ооо) следвана от рак на мъжките полови органи (78.4%ооо). </w:t>
      </w:r>
    </w:p>
    <w:p w:rsidR="009954E8" w:rsidRPr="00BD5BB8" w:rsidRDefault="009954E8" w:rsidP="009954E8">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Наблюдават се териториални различия в броя на новооткритите регистрирани заболявания от злокачествени новообразувания на 100 000 население. Най-висока е заболяемостта в областите Русе (582.9%ооо), Ямбол (540.6%ооо), Плевен (519.6%ооо), и най-ниска </w:t>
      </w:r>
      <w:r w:rsidR="00572189" w:rsidRPr="00BD5BB8">
        <w:rPr>
          <w:rFonts w:ascii="Times New Roman" w:hAnsi="Times New Roman" w:cs="Times New Roman"/>
          <w:sz w:val="24"/>
          <w:szCs w:val="24"/>
        </w:rPr>
        <w:t xml:space="preserve">– </w:t>
      </w:r>
      <w:r w:rsidRPr="00BD5BB8">
        <w:rPr>
          <w:rFonts w:ascii="Times New Roman" w:hAnsi="Times New Roman" w:cs="Times New Roman"/>
          <w:sz w:val="24"/>
          <w:szCs w:val="24"/>
        </w:rPr>
        <w:t>в Кюстендил (136.6%ооо), София</w:t>
      </w:r>
      <w:r w:rsidR="00572189" w:rsidRPr="00BD5BB8">
        <w:rPr>
          <w:rFonts w:ascii="Times New Roman" w:hAnsi="Times New Roman" w:cs="Times New Roman"/>
          <w:sz w:val="24"/>
          <w:szCs w:val="24"/>
        </w:rPr>
        <w:t>-</w:t>
      </w:r>
      <w:r w:rsidRPr="00BD5BB8">
        <w:rPr>
          <w:rFonts w:ascii="Times New Roman" w:hAnsi="Times New Roman" w:cs="Times New Roman"/>
          <w:sz w:val="24"/>
          <w:szCs w:val="24"/>
        </w:rPr>
        <w:t>област (1</w:t>
      </w:r>
      <w:r w:rsidR="00B7253A" w:rsidRPr="00BD5BB8">
        <w:rPr>
          <w:rFonts w:ascii="Times New Roman" w:hAnsi="Times New Roman" w:cs="Times New Roman"/>
          <w:sz w:val="24"/>
          <w:szCs w:val="24"/>
        </w:rPr>
        <w:t>58.5%ооо), Перник (214.5%ооо).</w:t>
      </w:r>
    </w:p>
    <w:p w:rsidR="009954E8" w:rsidRPr="00BD5BB8" w:rsidRDefault="009954E8" w:rsidP="005F2097">
      <w:pPr>
        <w:spacing w:after="0" w:line="240" w:lineRule="auto"/>
        <w:jc w:val="center"/>
        <w:rPr>
          <w:rFonts w:ascii="Times New Roman" w:hAnsi="Times New Roman" w:cs="Times New Roman"/>
          <w:sz w:val="24"/>
          <w:szCs w:val="24"/>
        </w:rPr>
      </w:pPr>
    </w:p>
    <w:p w:rsidR="005F2097" w:rsidRPr="00BD5BB8" w:rsidRDefault="005F2097" w:rsidP="005F2097">
      <w:pPr>
        <w:autoSpaceDE w:val="0"/>
        <w:autoSpaceDN w:val="0"/>
        <w:adjustRightInd w:val="0"/>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Заболяемост  по хоспитализации</w:t>
      </w:r>
    </w:p>
    <w:p w:rsidR="005F2097" w:rsidRPr="00BD5BB8" w:rsidRDefault="005F2097" w:rsidP="005F2097">
      <w:pPr>
        <w:autoSpaceDE w:val="0"/>
        <w:autoSpaceDN w:val="0"/>
        <w:adjustRightInd w:val="0"/>
        <w:spacing w:after="0" w:line="240" w:lineRule="auto"/>
        <w:jc w:val="center"/>
        <w:rPr>
          <w:rFonts w:ascii="Times New Roman" w:hAnsi="Times New Roman" w:cs="Times New Roman"/>
          <w:sz w:val="24"/>
          <w:szCs w:val="24"/>
        </w:rPr>
      </w:pPr>
    </w:p>
    <w:p w:rsidR="009954E8" w:rsidRPr="00BD5BB8" w:rsidRDefault="009954E8" w:rsidP="009954E8">
      <w:pPr>
        <w:shd w:val="clear" w:color="auto" w:fill="FFFFFF"/>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Статистическите данни за </w:t>
      </w:r>
      <w:r w:rsidRPr="00BD5BB8">
        <w:rPr>
          <w:rFonts w:ascii="Times New Roman" w:hAnsi="Times New Roman" w:cs="Times New Roman"/>
          <w:b/>
          <w:bCs/>
          <w:i/>
          <w:iCs/>
          <w:sz w:val="24"/>
          <w:szCs w:val="24"/>
        </w:rPr>
        <w:t xml:space="preserve">заболяемостта по хоспитализации </w:t>
      </w:r>
      <w:r w:rsidRPr="00BD5BB8">
        <w:rPr>
          <w:rFonts w:ascii="Times New Roman" w:hAnsi="Times New Roman" w:cs="Times New Roman"/>
          <w:sz w:val="24"/>
          <w:szCs w:val="24"/>
        </w:rPr>
        <w:t xml:space="preserve">за периода 2005-2018 г. показват, че броят на хоспитализираните случаи в стационарите на лечебните заведения нараства от 1 614 313 (20 857.0%ооо) до 2 401 759 (34 188.6%ооо) общо, както и основно във възрастовите групи над 18 г. Тези показатели се увеличават в сравнение с предходната година. От 2016 г., съгласно измененията на Наредба №49 от </w:t>
      </w:r>
      <w:r w:rsidRPr="00BD5BB8">
        <w:rPr>
          <w:rFonts w:ascii="Times New Roman" w:hAnsi="Times New Roman" w:cs="Times New Roman"/>
          <w:sz w:val="24"/>
          <w:szCs w:val="24"/>
        </w:rPr>
        <w:lastRenderedPageBreak/>
        <w:t xml:space="preserve">2010 г. за основните изисквания, на които трябва да отговарят устройството, дейността и вътрешният ред на лечебните заведения за болнична помощ и домовете за медико-социални грижи, освен хоспитализираните случаи на болничните легла, се отчитат и обслужените лица на местата за краткотраен престой. </w:t>
      </w:r>
    </w:p>
    <w:p w:rsidR="009954E8" w:rsidRPr="00BD5BB8" w:rsidRDefault="009954E8" w:rsidP="009954E8">
      <w:pPr>
        <w:shd w:val="clear" w:color="auto" w:fill="FFFFFF"/>
        <w:spacing w:after="0" w:line="240" w:lineRule="auto"/>
        <w:ind w:firstLine="708"/>
        <w:jc w:val="both"/>
        <w:rPr>
          <w:rFonts w:ascii="Times New Roman" w:hAnsi="Times New Roman" w:cs="Times New Roman"/>
          <w:b/>
          <w:sz w:val="24"/>
          <w:szCs w:val="24"/>
        </w:rPr>
      </w:pPr>
      <w:r w:rsidRPr="00BD5BB8">
        <w:rPr>
          <w:rFonts w:ascii="Times New Roman" w:hAnsi="Times New Roman" w:cs="Times New Roman"/>
          <w:b/>
          <w:sz w:val="24"/>
          <w:szCs w:val="24"/>
        </w:rPr>
        <w:t>Най-голям е броят на хоспитализираните случаи в стационарите на лечебните заведения на 100 000 население сред лицата над 65 годишна възраст (61 032.6), следва групата на лицата 18-64 г. (27 766.8) и най-нисък е при децата от 0 до 17 години – 2.5 пъти по-нисък от този над 65 години.</w:t>
      </w:r>
    </w:p>
    <w:p w:rsidR="009954E8" w:rsidRPr="00BD5BB8" w:rsidRDefault="009954E8" w:rsidP="009954E8">
      <w:pPr>
        <w:shd w:val="clear" w:color="auto" w:fill="FFFFFF"/>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Сред </w:t>
      </w:r>
      <w:r w:rsidRPr="00BD5BB8">
        <w:rPr>
          <w:rFonts w:ascii="Times New Roman" w:hAnsi="Times New Roman" w:cs="Times New Roman"/>
          <w:i/>
          <w:iCs/>
          <w:sz w:val="24"/>
          <w:szCs w:val="24"/>
        </w:rPr>
        <w:t xml:space="preserve">причините за хоспитализация по класове </w:t>
      </w:r>
      <w:r w:rsidRPr="00BD5BB8">
        <w:rPr>
          <w:rFonts w:ascii="Times New Roman" w:hAnsi="Times New Roman" w:cs="Times New Roman"/>
          <w:sz w:val="24"/>
          <w:szCs w:val="24"/>
        </w:rPr>
        <w:t xml:space="preserve">водещи са фактори, влияещи върху здравното състояние на населението и контакта със здравните служби (17.4%),  болестите на органите на кръвообращението (13.6%), болестите на дихателната система (9.3%), и болестите на храносмилателната система (9.0%), които обуславят общо 49.3% от хоспитализациите. </w:t>
      </w:r>
    </w:p>
    <w:p w:rsidR="009954E8" w:rsidRPr="00BD5BB8" w:rsidRDefault="009954E8" w:rsidP="009954E8">
      <w:pPr>
        <w:shd w:val="clear" w:color="auto" w:fill="FFFFFF"/>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Структурата на хоспитализациите по класове се различава съществено по възрастови групи. </w:t>
      </w:r>
    </w:p>
    <w:p w:rsidR="009954E8" w:rsidRPr="00BD5BB8" w:rsidRDefault="009954E8" w:rsidP="009954E8">
      <w:pPr>
        <w:shd w:val="clear" w:color="auto" w:fill="FFFFFF"/>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При лицата 0</w:t>
      </w:r>
      <w:r w:rsidR="00B7253A" w:rsidRPr="00BD5BB8">
        <w:rPr>
          <w:rFonts w:ascii="Times New Roman" w:hAnsi="Times New Roman" w:cs="Times New Roman"/>
          <w:sz w:val="24"/>
          <w:szCs w:val="24"/>
        </w:rPr>
        <w:t xml:space="preserve"> </w:t>
      </w:r>
      <w:r w:rsidRPr="00BD5BB8">
        <w:rPr>
          <w:rFonts w:ascii="Times New Roman" w:hAnsi="Times New Roman" w:cs="Times New Roman"/>
          <w:sz w:val="24"/>
          <w:szCs w:val="24"/>
        </w:rPr>
        <w:t xml:space="preserve">-17 години водещи са болестите на дихателната система (32,5%). </w:t>
      </w:r>
    </w:p>
    <w:p w:rsidR="009954E8" w:rsidRPr="00BD5BB8" w:rsidRDefault="009954E8" w:rsidP="009954E8">
      <w:pPr>
        <w:shd w:val="clear" w:color="auto" w:fill="FFFFFF"/>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При лицата от 18 до 64 г. водещи са 3 класа : фактори, влияещи върху здравното състояние на населението и контакта със здравните служби (16.6%), бременност, раждане и послеродов период (9.9%) и болести на органите на кръвообращението (9.8%). </w:t>
      </w:r>
    </w:p>
    <w:p w:rsidR="005F2097" w:rsidRPr="00BD5BB8" w:rsidRDefault="009954E8" w:rsidP="009954E8">
      <w:pPr>
        <w:shd w:val="clear" w:color="auto" w:fill="FFFFFF"/>
        <w:spacing w:after="0" w:line="240" w:lineRule="auto"/>
        <w:ind w:firstLine="708"/>
        <w:jc w:val="both"/>
        <w:rPr>
          <w:rFonts w:ascii="Times New Roman" w:hAnsi="Times New Roman" w:cs="Times New Roman"/>
          <w:b/>
          <w:sz w:val="24"/>
          <w:szCs w:val="24"/>
        </w:rPr>
      </w:pPr>
      <w:r w:rsidRPr="00BD5BB8">
        <w:rPr>
          <w:rFonts w:ascii="Times New Roman" w:hAnsi="Times New Roman" w:cs="Times New Roman"/>
          <w:b/>
          <w:sz w:val="24"/>
          <w:szCs w:val="24"/>
        </w:rPr>
        <w:t>При лицата на възраст 65 и повече години на първо място в структурата са болестите на органите на кръвообращението (22.7%), следват фактори, влияещи върху здравното състояние на населението и контакта със здравните служби (18.7%), болести на храносмилателната система (9.0%) и новообразуванията (9.0%), които общо обуславят над половината от хоспитализираната заболяемост в тази възрастова група (59.3%).</w:t>
      </w:r>
    </w:p>
    <w:p w:rsidR="005F2097" w:rsidRPr="00BD5BB8" w:rsidRDefault="005F2097" w:rsidP="005F2097">
      <w:pPr>
        <w:shd w:val="clear" w:color="auto" w:fill="FFFFFF"/>
        <w:spacing w:after="0" w:line="240" w:lineRule="auto"/>
        <w:ind w:firstLine="708"/>
        <w:jc w:val="both"/>
        <w:rPr>
          <w:rFonts w:ascii="Times New Roman" w:hAnsi="Times New Roman" w:cs="Times New Roman"/>
          <w:b/>
          <w:sz w:val="24"/>
          <w:szCs w:val="24"/>
        </w:rPr>
      </w:pPr>
    </w:p>
    <w:p w:rsidR="005F2097" w:rsidRPr="00BD5BB8" w:rsidRDefault="005F2097" w:rsidP="005F2097">
      <w:pPr>
        <w:shd w:val="clear" w:color="auto" w:fill="FFFFFF"/>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Трайно намалена работоспособност. Вид и степен на увреждане.</w:t>
      </w:r>
    </w:p>
    <w:p w:rsidR="005F2097" w:rsidRPr="00BD5BB8" w:rsidRDefault="005F2097" w:rsidP="005F2097">
      <w:pPr>
        <w:shd w:val="clear" w:color="auto" w:fill="FFFFFF"/>
        <w:spacing w:after="0" w:line="240" w:lineRule="auto"/>
        <w:jc w:val="center"/>
        <w:rPr>
          <w:rFonts w:ascii="Times New Roman" w:hAnsi="Times New Roman" w:cs="Times New Roman"/>
          <w:b/>
          <w:sz w:val="24"/>
          <w:szCs w:val="24"/>
        </w:rPr>
      </w:pPr>
    </w:p>
    <w:p w:rsidR="009954E8" w:rsidRPr="00BD5BB8" w:rsidRDefault="009954E8" w:rsidP="009954E8">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По данни от Информационната система за трайна неработоспособност на населението над 16 години на НЦОЗА, базирана на ежегодната обработка на експертните решения, издадени от ТЕЛК и НЕЛК, броят на </w:t>
      </w:r>
      <w:r w:rsidRPr="00BD5BB8">
        <w:rPr>
          <w:rFonts w:ascii="Times New Roman" w:hAnsi="Times New Roman" w:cs="Times New Roman"/>
          <w:i/>
          <w:iCs/>
          <w:sz w:val="24"/>
          <w:szCs w:val="24"/>
        </w:rPr>
        <w:t xml:space="preserve">лицата с първично определена трайно намалена работоспособност/вид и степен на увреждане над 16-годишна възраст </w:t>
      </w:r>
      <w:r w:rsidRPr="00BD5BB8">
        <w:rPr>
          <w:rFonts w:ascii="Times New Roman" w:hAnsi="Times New Roman" w:cs="Times New Roman"/>
          <w:sz w:val="24"/>
          <w:szCs w:val="24"/>
        </w:rPr>
        <w:t>през последните години намалява, като през 2013 г. и 2014 г. показва известно увеличение и през следващите три години отново намалява, но през 2018 г. има леко покачване и достига 53 061  души.</w:t>
      </w:r>
    </w:p>
    <w:p w:rsidR="009954E8" w:rsidRPr="00BD5BB8" w:rsidRDefault="009954E8" w:rsidP="009954E8">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След 2008 г., в динамика макар и с колебания, се наблюдава увеличаване на броя на лицата с пожизнено решение за трайно намалена работоспособност до 2014 г., като от 2015 г. до 2017 г. намалява, а през 2018 г. нараства и е 29 798 лица (18.0% от всички освидетелствани и преосвидетелствани). Най-висок остава броят и делът на лицата със срок на трайно намалена работоспособност/вид и степен на увреждане 3 години (69</w:t>
      </w:r>
      <w:r w:rsidR="00C362DE">
        <w:rPr>
          <w:rFonts w:ascii="Times New Roman" w:hAnsi="Times New Roman" w:cs="Times New Roman"/>
          <w:sz w:val="24"/>
          <w:szCs w:val="24"/>
        </w:rPr>
        <w:t xml:space="preserve"> </w:t>
      </w:r>
      <w:r w:rsidRPr="00BD5BB8">
        <w:rPr>
          <w:rFonts w:ascii="Times New Roman" w:hAnsi="Times New Roman" w:cs="Times New Roman"/>
          <w:sz w:val="24"/>
          <w:szCs w:val="24"/>
        </w:rPr>
        <w:t xml:space="preserve">429, което обуславя 41.9% от лицата с трайно намалена работоспособност/вид и степен на увреждане). Увеличение се отчита при дела на лицата с трайно намалена работоспособност/вид и степен на увреждане със срок 1 година, а намаление при дела на тези с 2 години. </w:t>
      </w:r>
    </w:p>
    <w:p w:rsidR="009954E8" w:rsidRPr="00BD5BB8" w:rsidRDefault="009954E8" w:rsidP="009954E8">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В същото време следва да се</w:t>
      </w:r>
      <w:r w:rsidRPr="00BD5BB8">
        <w:rPr>
          <w:rFonts w:ascii="Times New Roman" w:eastAsia="Times New Roman" w:hAnsi="Times New Roman" w:cs="Times New Roman"/>
          <w:sz w:val="24"/>
          <w:szCs w:val="24"/>
        </w:rPr>
        <w:t xml:space="preserve"> </w:t>
      </w:r>
      <w:r w:rsidRPr="00BD5BB8">
        <w:rPr>
          <w:rFonts w:ascii="Times New Roman" w:hAnsi="Times New Roman" w:cs="Times New Roman"/>
          <w:sz w:val="24"/>
          <w:szCs w:val="24"/>
        </w:rPr>
        <w:t xml:space="preserve">отчете, че броят на освидетелстваните и преосвидетелствани лица с трайно намалена работоспособност/вид и степен на увреждане е значителен – през 2018 г. е 165 828 души.  Най-висок е относителният дял </w:t>
      </w:r>
      <w:r w:rsidRPr="00BD5BB8">
        <w:rPr>
          <w:rFonts w:ascii="Times New Roman" w:hAnsi="Times New Roman" w:cs="Times New Roman"/>
          <w:sz w:val="24"/>
          <w:szCs w:val="24"/>
        </w:rPr>
        <w:lastRenderedPageBreak/>
        <w:t xml:space="preserve">на тези лица от възрастовата група над 60 години (36.6%), следвани от възрастовата група 50-59 години (35.6%). </w:t>
      </w:r>
    </w:p>
    <w:p w:rsidR="009954E8" w:rsidRPr="00BD5BB8" w:rsidRDefault="009954E8" w:rsidP="009954E8">
      <w:pPr>
        <w:shd w:val="clear" w:color="auto" w:fill="FFFFFF"/>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 xml:space="preserve">Относителният дял на освидетелстваните лица над 16 г. с трайно намалена работоспособност/вид и степен на увреждане 50-70% намалява в сравнение с предходната година и е най-висок </w:t>
      </w:r>
      <w:r w:rsidR="00572189" w:rsidRPr="00BD5BB8">
        <w:rPr>
          <w:rFonts w:ascii="Times New Roman" w:hAnsi="Times New Roman" w:cs="Times New Roman"/>
          <w:sz w:val="24"/>
          <w:szCs w:val="24"/>
        </w:rPr>
        <w:t xml:space="preserve">– </w:t>
      </w:r>
      <w:r w:rsidRPr="00BD5BB8">
        <w:rPr>
          <w:rFonts w:ascii="Times New Roman" w:hAnsi="Times New Roman" w:cs="Times New Roman"/>
          <w:sz w:val="24"/>
          <w:szCs w:val="24"/>
        </w:rPr>
        <w:t>34.2%. Следват лицата със 71-90%  с относителен дял 28.6% (29.7% за 2017 г.), с над 90% трайно намалена работоспособност/вид и степен на увреждане – 22.3% (21.8% за 2017 г.) и до 50% са 14.9% (14.1% за 2017 г.). Спрямо 2017 г. е увеличен броят на лицата с трайно намалена работоспособност/вид и степен на увреждане до 50% (съответно с 511 души).</w:t>
      </w:r>
    </w:p>
    <w:p w:rsidR="009954E8" w:rsidRPr="00BD5BB8" w:rsidRDefault="009954E8" w:rsidP="009954E8">
      <w:pPr>
        <w:shd w:val="clear" w:color="auto" w:fill="FFFFFF"/>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Най-честата причина за трайно намалена работоспособност на лицата над 16 години са болестите на органите на кръвообращението, които обхващат 33.4% от общия брой на случаите на новоинвалидизираните лица. Следват новообразуванията (22.7%), болестите на костно-мускулната система и съединителната тъкан (11.1%), болестите на ендокринната система, разстройствата на храненето и обмяната на веществата (6.8%) и др. Тази структура, с много малки колебания, се запазва през последните 10 години.</w:t>
      </w:r>
    </w:p>
    <w:p w:rsidR="009954E8" w:rsidRPr="00BD5BB8" w:rsidRDefault="009954E8" w:rsidP="009954E8">
      <w:pPr>
        <w:shd w:val="clear" w:color="auto" w:fill="FFFFFF"/>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След 2008 г. се регистрира увеличаване на </w:t>
      </w:r>
      <w:r w:rsidRPr="00BD5BB8">
        <w:rPr>
          <w:rFonts w:ascii="Times New Roman" w:hAnsi="Times New Roman" w:cs="Times New Roman"/>
          <w:i/>
          <w:iCs/>
          <w:sz w:val="24"/>
          <w:szCs w:val="24"/>
        </w:rPr>
        <w:t xml:space="preserve">броя на освидетелстваните деца до 16-годишна възраст, признати за лица с вид и степен на увреждане, </w:t>
      </w:r>
      <w:r w:rsidRPr="00BD5BB8">
        <w:rPr>
          <w:rFonts w:ascii="Times New Roman" w:hAnsi="Times New Roman" w:cs="Times New Roman"/>
          <w:sz w:val="24"/>
          <w:szCs w:val="24"/>
        </w:rPr>
        <w:t>като през последните няколко години намалява и достига през 2018 г. 3 915 деца (при 4 070 за 2017 г.) или 3.7 на 1000 население до 16 години (3.8%о за 2017 г.). Най-голям е броят и делът на децата със степен на увреждане 50-70% – 1 770 (45.2%). Всяко пето дете с увреждане е със степен 71-90% увреждане (21.2%), с най-тежката степен над 90% са 14.3% .</w:t>
      </w:r>
    </w:p>
    <w:p w:rsidR="009954E8" w:rsidRPr="00BD5BB8" w:rsidRDefault="009954E8" w:rsidP="009954E8">
      <w:pPr>
        <w:shd w:val="clear" w:color="auto" w:fill="FFFFFF"/>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Структурата на причините за вида и степента на увреждане при децата е различна от тази при лицата над 16-годишна възраст. Най-честата причина са психичните и поведенческите разстройства (23.3%), болестите на дихателната система (20.6%), вродените аномалии (17.4%) и на нервната система (11.7%.) Тази структура с някои изключения се запазва през годините.</w:t>
      </w:r>
    </w:p>
    <w:p w:rsidR="005F2097" w:rsidRPr="00BD5BB8" w:rsidRDefault="005F2097" w:rsidP="005F2097">
      <w:pPr>
        <w:shd w:val="clear" w:color="auto" w:fill="FFFFFF"/>
        <w:spacing w:after="0" w:line="240" w:lineRule="auto"/>
        <w:jc w:val="both"/>
        <w:rPr>
          <w:rFonts w:ascii="Times New Roman" w:hAnsi="Times New Roman" w:cs="Times New Roman"/>
          <w:b/>
          <w:sz w:val="24"/>
          <w:szCs w:val="24"/>
        </w:rPr>
      </w:pPr>
    </w:p>
    <w:p w:rsidR="005F2097" w:rsidRPr="00BD5BB8" w:rsidRDefault="005F2097" w:rsidP="005F2097">
      <w:pPr>
        <w:shd w:val="clear" w:color="auto" w:fill="FFFFFF"/>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 xml:space="preserve">Влияние на социално-икономическите фактори и околната среда </w:t>
      </w:r>
    </w:p>
    <w:p w:rsidR="005F2097" w:rsidRPr="00BD5BB8" w:rsidRDefault="005F2097" w:rsidP="005F2097">
      <w:pPr>
        <w:shd w:val="clear" w:color="auto" w:fill="FFFFFF"/>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върху здравното състояние на населението</w:t>
      </w:r>
    </w:p>
    <w:p w:rsidR="005F2097" w:rsidRPr="00BD5BB8" w:rsidRDefault="005F2097" w:rsidP="005F2097">
      <w:pPr>
        <w:shd w:val="clear" w:color="auto" w:fill="FFFFFF"/>
        <w:spacing w:after="0" w:line="240" w:lineRule="auto"/>
        <w:ind w:firstLine="709"/>
        <w:jc w:val="both"/>
        <w:rPr>
          <w:rFonts w:ascii="Times New Roman" w:hAnsi="Times New Roman" w:cs="Times New Roman"/>
          <w:sz w:val="24"/>
          <w:szCs w:val="24"/>
        </w:rPr>
      </w:pPr>
    </w:p>
    <w:p w:rsidR="009954E8" w:rsidRPr="00BD5BB8" w:rsidRDefault="009954E8" w:rsidP="009954E8">
      <w:pPr>
        <w:shd w:val="clear" w:color="auto" w:fill="FFFFFF"/>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Оценката на въздействието на различните фактори върху здравето на населението показва различна сила на влияние на отделните фактори, като най-съществено влияние върху здравето на гражданите имат социално-икономическите фактори на обкръжаващата среда (50%), следвани от начина на живот на отделните граждани, семейството, групите и обществото (20%). Въздействието на здравната система върху индивидуалното, груповото и общественото здраве е в рамките на едва 10%.</w:t>
      </w:r>
    </w:p>
    <w:p w:rsidR="009954E8" w:rsidRPr="00BD5BB8" w:rsidRDefault="009954E8" w:rsidP="009954E8">
      <w:pPr>
        <w:shd w:val="clear" w:color="auto" w:fill="FFFFFF"/>
        <w:spacing w:after="0" w:line="240" w:lineRule="auto"/>
        <w:jc w:val="both"/>
        <w:rPr>
          <w:rFonts w:ascii="Times New Roman" w:hAnsi="Times New Roman" w:cs="Times New Roman"/>
          <w:bCs/>
          <w:iCs/>
          <w:sz w:val="24"/>
          <w:szCs w:val="24"/>
        </w:rPr>
      </w:pPr>
      <w:r w:rsidRPr="00BD5BB8">
        <w:rPr>
          <w:rFonts w:ascii="Times New Roman" w:hAnsi="Times New Roman" w:cs="Times New Roman"/>
          <w:sz w:val="24"/>
          <w:szCs w:val="24"/>
        </w:rPr>
        <w:tab/>
        <w:t xml:space="preserve">Сред рисковите фактори, свързани с </w:t>
      </w:r>
      <w:r w:rsidRPr="00BD5BB8">
        <w:rPr>
          <w:rFonts w:ascii="Times New Roman" w:hAnsi="Times New Roman" w:cs="Times New Roman"/>
          <w:b/>
          <w:sz w:val="24"/>
          <w:szCs w:val="24"/>
        </w:rPr>
        <w:t>околната среда</w:t>
      </w:r>
      <w:r w:rsidRPr="00BD5BB8">
        <w:rPr>
          <w:rFonts w:ascii="Times New Roman" w:hAnsi="Times New Roman" w:cs="Times New Roman"/>
          <w:sz w:val="24"/>
          <w:szCs w:val="24"/>
        </w:rPr>
        <w:t xml:space="preserve"> са: състоянието на атмосферния въздух; питейните води; водите за къпане; състоянието на почвите и на отпадъците; шума; г</w:t>
      </w:r>
      <w:r w:rsidRPr="00BD5BB8">
        <w:rPr>
          <w:rFonts w:ascii="Times New Roman" w:hAnsi="Times New Roman" w:cs="Times New Roman"/>
          <w:bCs/>
          <w:iCs/>
          <w:sz w:val="24"/>
          <w:szCs w:val="24"/>
        </w:rPr>
        <w:t>енетично модифицирани организми в храни; нейонизиращи лъчения; йонизиращи лъчения и др.</w:t>
      </w:r>
    </w:p>
    <w:p w:rsidR="009954E8" w:rsidRPr="00BD5BB8" w:rsidRDefault="009954E8" w:rsidP="009954E8">
      <w:pPr>
        <w:shd w:val="clear" w:color="auto" w:fill="FFFFFF"/>
        <w:spacing w:after="0" w:line="240" w:lineRule="auto"/>
        <w:jc w:val="both"/>
        <w:rPr>
          <w:rFonts w:ascii="Times New Roman" w:hAnsi="Times New Roman" w:cs="Times New Roman"/>
          <w:bCs/>
          <w:iCs/>
          <w:sz w:val="24"/>
          <w:szCs w:val="24"/>
        </w:rPr>
      </w:pPr>
      <w:r w:rsidRPr="00BD5BB8">
        <w:rPr>
          <w:rFonts w:ascii="Times New Roman" w:hAnsi="Times New Roman" w:cs="Times New Roman"/>
          <w:bCs/>
          <w:iCs/>
          <w:sz w:val="24"/>
          <w:szCs w:val="24"/>
        </w:rPr>
        <w:tab/>
        <w:t xml:space="preserve">Сред рисковите фактори, свързани с </w:t>
      </w:r>
      <w:r w:rsidRPr="00BD5BB8">
        <w:rPr>
          <w:rFonts w:ascii="Times New Roman" w:hAnsi="Times New Roman" w:cs="Times New Roman"/>
          <w:b/>
          <w:bCs/>
          <w:iCs/>
          <w:sz w:val="24"/>
          <w:szCs w:val="24"/>
        </w:rPr>
        <w:t>начина на живот</w:t>
      </w:r>
      <w:r w:rsidRPr="00BD5BB8">
        <w:rPr>
          <w:rFonts w:ascii="Times New Roman" w:hAnsi="Times New Roman" w:cs="Times New Roman"/>
          <w:bCs/>
          <w:iCs/>
          <w:sz w:val="24"/>
          <w:szCs w:val="24"/>
        </w:rPr>
        <w:t xml:space="preserve"> са: тютюнопушене; употреба на алкохол; физическа активност; хранене и хранителен статус на населението в България; употреба на наркотици и др.</w:t>
      </w:r>
    </w:p>
    <w:p w:rsidR="005F2097" w:rsidRPr="00BD5BB8" w:rsidRDefault="005F2097" w:rsidP="005F2097">
      <w:pPr>
        <w:shd w:val="clear" w:color="auto" w:fill="FFFFFF"/>
        <w:spacing w:after="0" w:line="240" w:lineRule="auto"/>
        <w:jc w:val="both"/>
        <w:rPr>
          <w:rFonts w:ascii="Times New Roman" w:hAnsi="Times New Roman" w:cs="Times New Roman"/>
          <w:bCs/>
          <w:iCs/>
          <w:sz w:val="24"/>
          <w:szCs w:val="24"/>
        </w:rPr>
      </w:pPr>
    </w:p>
    <w:p w:rsidR="005F2097" w:rsidRPr="00BD5BB8" w:rsidRDefault="005F2097" w:rsidP="005F2097">
      <w:pPr>
        <w:suppressAutoHyphens/>
        <w:spacing w:after="0" w:line="240" w:lineRule="auto"/>
        <w:ind w:firstLine="709"/>
        <w:jc w:val="both"/>
        <w:rPr>
          <w:rFonts w:ascii="Times New Roman" w:eastAsia="Times New Roman" w:hAnsi="Times New Roman" w:cs="Times New Roman"/>
          <w:b/>
          <w:bCs/>
          <w:sz w:val="24"/>
          <w:szCs w:val="24"/>
          <w:lang w:eastAsia="bg-BG"/>
        </w:rPr>
      </w:pPr>
    </w:p>
    <w:p w:rsidR="005F2097" w:rsidRPr="00BD5BB8" w:rsidRDefault="005F2097" w:rsidP="005F2097">
      <w:pPr>
        <w:autoSpaceDE w:val="0"/>
        <w:autoSpaceDN w:val="0"/>
        <w:adjustRightInd w:val="0"/>
        <w:spacing w:after="0" w:line="240" w:lineRule="auto"/>
        <w:jc w:val="center"/>
        <w:rPr>
          <w:rFonts w:ascii="Times New Roman" w:eastAsiaTheme="minorEastAsia" w:hAnsi="Times New Roman" w:cs="Times New Roman"/>
          <w:b/>
          <w:bCs/>
          <w:sz w:val="24"/>
          <w:szCs w:val="24"/>
          <w:lang w:eastAsia="bg-BG"/>
        </w:rPr>
      </w:pPr>
      <w:r w:rsidRPr="00BD5BB8">
        <w:rPr>
          <w:rFonts w:ascii="Times New Roman" w:eastAsiaTheme="minorEastAsia" w:hAnsi="Times New Roman" w:cs="Times New Roman"/>
          <w:b/>
          <w:bCs/>
          <w:sz w:val="24"/>
          <w:szCs w:val="24"/>
          <w:lang w:eastAsia="bg-BG"/>
        </w:rPr>
        <w:lastRenderedPageBreak/>
        <w:t>Обществени потребности за подобряване на условията за достъп до здравни услуги и удължаване на живота в добро здраве.</w:t>
      </w:r>
    </w:p>
    <w:p w:rsidR="005F2097" w:rsidRPr="00BD5BB8" w:rsidRDefault="005F2097" w:rsidP="005F2097">
      <w:pPr>
        <w:autoSpaceDE w:val="0"/>
        <w:autoSpaceDN w:val="0"/>
        <w:adjustRightInd w:val="0"/>
        <w:spacing w:after="0" w:line="240" w:lineRule="auto"/>
        <w:jc w:val="center"/>
        <w:rPr>
          <w:rFonts w:ascii="Times New Roman" w:eastAsiaTheme="minorEastAsia" w:hAnsi="Times New Roman" w:cs="Times New Roman"/>
          <w:b/>
          <w:bCs/>
          <w:sz w:val="24"/>
          <w:szCs w:val="24"/>
          <w:lang w:eastAsia="bg-BG"/>
        </w:rPr>
      </w:pP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Осигуряването на добро здраве е важен фактор за успешната бъдеща трудова заетост и професионална реализация, както и за дългосрочния потенциал за развитие на отделния човек, организация или държава в глобалната икономика. От края на 80-те години по методика на ООН здравето е включено като един от фундаменталните измерители на индекса на човешкото развитие. Също така чрез показателя "продължителност на живота" то се приема като един от най-съществените показатели на качеството на живота. Все по-често се споделя становището, че на здравето на населението следва да се гледа не като на съпътстващ продукт на благоденствието, а като на нещо, което е и вложение в бъдещия икономически растеж. Допълнителните инвестиции за по-добро здравеопазване за населението са необходими не само от социални и етични съображения, но и защото в дългосрочен план те ще да допринесат за подобряване на конкурентоспособността на нацията в икономическо отношение. Здравето допринася за увеличаване на производителността, за по-висока ефективност на работната сила, за здравословно остаряване и следователно за по-малко разходи за обезщетения по болест и социални разходи, и оттам за по-малко загубени лични и обществени ползи. Здравето и благосъстоянието на населението се постигат успешно, ако всички в управлението насочат общите си усилия към социалните и индивидуални детерминанти на здравето.</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 xml:space="preserve">Необходим е качествено нов подход към финансирането на здравеопазването, основан на разбирането, че </w:t>
      </w:r>
      <w:r w:rsidRPr="00BD5BB8">
        <w:rPr>
          <w:rFonts w:ascii="Times New Roman" w:eastAsiaTheme="minorEastAsia" w:hAnsi="Times New Roman" w:cs="Times New Roman"/>
          <w:b/>
          <w:bCs/>
          <w:sz w:val="24"/>
          <w:szCs w:val="24"/>
          <w:lang w:eastAsia="bg-BG"/>
        </w:rPr>
        <w:t xml:space="preserve">здравните разходи са инвестиция, която се възвръща чрез </w:t>
      </w:r>
      <w:r w:rsidRPr="00BD5BB8">
        <w:rPr>
          <w:rFonts w:ascii="Times New Roman" w:eastAsiaTheme="minorEastAsia" w:hAnsi="Times New Roman" w:cs="Times New Roman"/>
          <w:b/>
          <w:bCs/>
          <w:i/>
          <w:iCs/>
          <w:sz w:val="24"/>
          <w:szCs w:val="24"/>
          <w:lang w:eastAsia="bg-BG"/>
        </w:rPr>
        <w:t xml:space="preserve">„добавени години живот в добро здраве" </w:t>
      </w:r>
      <w:r w:rsidRPr="00BD5BB8">
        <w:rPr>
          <w:rFonts w:ascii="Times New Roman" w:eastAsiaTheme="minorEastAsia" w:hAnsi="Times New Roman" w:cs="Times New Roman"/>
          <w:sz w:val="24"/>
          <w:szCs w:val="24"/>
          <w:lang w:eastAsia="bg-BG"/>
        </w:rPr>
        <w:t>и чрез преки икономически резултати, водещи до подобряване на благосъстоянието на цялото население.</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b/>
          <w:bCs/>
          <w:sz w:val="24"/>
          <w:szCs w:val="24"/>
          <w:lang w:eastAsia="bg-BG"/>
        </w:rPr>
      </w:pPr>
      <w:r w:rsidRPr="00BD5BB8">
        <w:rPr>
          <w:rFonts w:ascii="Times New Roman" w:eastAsiaTheme="minorEastAsia" w:hAnsi="Times New Roman" w:cs="Times New Roman"/>
          <w:sz w:val="24"/>
          <w:szCs w:val="24"/>
          <w:lang w:eastAsia="bg-BG"/>
        </w:rPr>
        <w:t xml:space="preserve">Запазването на здравето и активността на хората за по-дълъг период има положителен ефект върху производителността и конкурентоспособността. Здравословното състояние на населението зависи от множество фактори, чието различно действие може да доведе до ограничаването или възпроизвеждането на различни видове неравенства: условия на живот, типове здравно поведение, психо-социални фактори, професия, възможности за достъп до здравни грижи и услуги и др. Неравенствата по отношение на здравето освен, че са несправедливи, имат и висока икономическа и социална цена. </w:t>
      </w:r>
      <w:r w:rsidRPr="00BD5BB8">
        <w:rPr>
          <w:rFonts w:ascii="Times New Roman" w:eastAsiaTheme="minorEastAsia" w:hAnsi="Times New Roman" w:cs="Times New Roman"/>
          <w:b/>
          <w:bCs/>
          <w:sz w:val="24"/>
          <w:szCs w:val="24"/>
          <w:lang w:eastAsia="bg-BG"/>
        </w:rPr>
        <w:t>Според експерти 50% от разликите в икономическия растеж между бедните и богатите страни се дължат на разликите в здравето и продължителността на живота.</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От друга страна, според наличните данни, сам по себе си икономическият растеж може да не доведе до намаляване на неравенствата. За ограничаване на неравенствата по отношение на здравето икономическият растеж трябва да бъде придружен от допълнителни политически мерки и трябва да се обръща по-голямо внимание на разпределението на благата. Освен това, положителното влияние на БВП на глава от населението върху здравето на гражданите и равенството по отношение на здравето до голяма степен зависи от правилната комбинация от политики за намаляване на различията и подобряване на общото здравословно състояние на населението чрез оптимизиране на връзката между ползата за здравеопазването и наличните ресурси.</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 xml:space="preserve">Системата на здравеопазването играе ключова роля при осигуряването на добро общо здравословно състояние на населението. Наличието на инфраструктура, оборудване и достатъчен брой медицински персонал и достъпът до качествено здравеопазване за всички граждани, независимо от дохода, социалния статус, </w:t>
      </w:r>
      <w:r w:rsidRPr="00BD5BB8">
        <w:rPr>
          <w:rFonts w:ascii="Times New Roman" w:eastAsiaTheme="minorEastAsia" w:hAnsi="Times New Roman" w:cs="Times New Roman"/>
          <w:sz w:val="24"/>
          <w:szCs w:val="24"/>
          <w:lang w:eastAsia="bg-BG"/>
        </w:rPr>
        <w:lastRenderedPageBreak/>
        <w:t xml:space="preserve">местонахождението и националността им, е от съществено значение за преодоляване на съществуващото значително неравенство по отношение на здравето. Едновременно с това са необходими мерки по отношение на различните фактори, които пораждат неравенства или ги задълбочават, в т.ч. политики, насочени към преодоляване на социалните и регионалните различия. </w:t>
      </w:r>
      <w:r w:rsidRPr="00BD5BB8">
        <w:rPr>
          <w:rFonts w:ascii="Times New Roman" w:eastAsiaTheme="minorEastAsia" w:hAnsi="Times New Roman" w:cs="Times New Roman"/>
          <w:b/>
          <w:bCs/>
          <w:sz w:val="24"/>
          <w:szCs w:val="24"/>
          <w:lang w:eastAsia="bg-BG"/>
        </w:rPr>
        <w:t xml:space="preserve">Иновациите в здравеопазването </w:t>
      </w:r>
      <w:r w:rsidRPr="00BD5BB8">
        <w:rPr>
          <w:rFonts w:ascii="Times New Roman" w:eastAsiaTheme="minorEastAsia" w:hAnsi="Times New Roman" w:cs="Times New Roman"/>
          <w:sz w:val="24"/>
          <w:szCs w:val="24"/>
          <w:lang w:eastAsia="bg-BG"/>
        </w:rPr>
        <w:t>също спомагат за посрещане на предизвикателството, свързано с устойчивостта в сектора в контекста на демографските промени.</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 xml:space="preserve">В отговор на тези нови аргументи за икономическата значимост на инвестициите в здравеопазването Стратегията „Здраве 2020" на Европейския регионален комитет на СЗО акцентира върху насърчаване на </w:t>
      </w:r>
      <w:r w:rsidRPr="00BD5BB8">
        <w:rPr>
          <w:rFonts w:ascii="Times New Roman" w:eastAsiaTheme="minorEastAsia" w:hAnsi="Times New Roman" w:cs="Times New Roman"/>
          <w:b/>
          <w:bCs/>
          <w:sz w:val="24"/>
          <w:szCs w:val="24"/>
          <w:lang w:eastAsia="bg-BG"/>
        </w:rPr>
        <w:t xml:space="preserve">инвестирането в здравето на хората през целия им живот </w:t>
      </w:r>
      <w:r w:rsidRPr="00BD5BB8">
        <w:rPr>
          <w:rFonts w:ascii="Times New Roman" w:eastAsiaTheme="minorEastAsia" w:hAnsi="Times New Roman" w:cs="Times New Roman"/>
          <w:sz w:val="24"/>
          <w:szCs w:val="24"/>
          <w:lang w:eastAsia="bg-BG"/>
        </w:rPr>
        <w:t>и реализиране на основните демократични ценности - солидарност, устойчивост и равнопоставеност.</w:t>
      </w:r>
    </w:p>
    <w:p w:rsidR="005F2097" w:rsidRPr="00BD5BB8" w:rsidRDefault="005F2097" w:rsidP="005F2097">
      <w:pPr>
        <w:autoSpaceDE w:val="0"/>
        <w:autoSpaceDN w:val="0"/>
        <w:adjustRightInd w:val="0"/>
        <w:spacing w:after="0" w:line="240" w:lineRule="auto"/>
        <w:ind w:firstLine="567"/>
        <w:jc w:val="both"/>
        <w:rPr>
          <w:rFonts w:ascii="Times New Roman" w:eastAsiaTheme="minorEastAsia" w:hAnsi="Times New Roman" w:cs="Times New Roman"/>
          <w:sz w:val="24"/>
          <w:szCs w:val="24"/>
          <w:lang w:eastAsia="bg-BG"/>
        </w:rPr>
      </w:pPr>
      <w:r w:rsidRPr="00BD5BB8">
        <w:rPr>
          <w:rFonts w:ascii="Times New Roman" w:eastAsiaTheme="minorEastAsia" w:hAnsi="Times New Roman" w:cs="Times New Roman"/>
          <w:sz w:val="24"/>
          <w:szCs w:val="24"/>
          <w:lang w:eastAsia="bg-BG"/>
        </w:rPr>
        <w:t>На здравето е отредена важна роля и в стратегията „Европа 2020", като в съобщението си от 29 юни 2011 г., озаглавено „Бюджет за стратегията „Европа 2020", Европейската комисия подчертава, че „подкрепата за постигане на добро здраве представлява неразделна част от целите за интелигентен и приобщаващ растеж в стратегията ,,Европа 2020".</w:t>
      </w:r>
    </w:p>
    <w:p w:rsidR="005F2097" w:rsidRPr="00BD5BB8" w:rsidRDefault="005F2097" w:rsidP="005F2097">
      <w:pPr>
        <w:spacing w:after="0" w:line="240" w:lineRule="auto"/>
        <w:rPr>
          <w:rFonts w:ascii="Times New Roman" w:eastAsiaTheme="minorEastAsia" w:hAnsi="Times New Roman" w:cs="Times New Roman"/>
          <w:sz w:val="24"/>
          <w:szCs w:val="24"/>
          <w:lang w:eastAsia="bg-BG"/>
        </w:rPr>
      </w:pPr>
      <w:r w:rsidRPr="00BD5BB8">
        <w:rPr>
          <w:rFonts w:ascii="Times New Roman" w:hAnsi="Times New Roman" w:cs="Times New Roman"/>
          <w:sz w:val="24"/>
          <w:szCs w:val="24"/>
          <w:lang w:eastAsia="bg-BG"/>
        </w:rPr>
        <w:br w:type="page"/>
      </w:r>
    </w:p>
    <w:p w:rsidR="005F2097" w:rsidRPr="00BD5BB8" w:rsidRDefault="005F2097" w:rsidP="005F2097">
      <w:pPr>
        <w:spacing w:after="0" w:line="240" w:lineRule="auto"/>
        <w:jc w:val="both"/>
        <w:rPr>
          <w:rFonts w:ascii="Times New Roman Bold" w:hAnsi="Times New Roman Bold" w:cs="Times New Roman"/>
          <w:b/>
          <w:caps/>
          <w:sz w:val="28"/>
          <w:szCs w:val="28"/>
        </w:rPr>
      </w:pPr>
      <w:r w:rsidRPr="00BD5BB8">
        <w:rPr>
          <w:rFonts w:ascii="Times New Roman Bold" w:hAnsi="Times New Roman Bold" w:cs="Times New Roman"/>
          <w:b/>
          <w:caps/>
          <w:sz w:val="28"/>
          <w:szCs w:val="28"/>
        </w:rPr>
        <w:lastRenderedPageBreak/>
        <w:t>Част 2</w:t>
      </w:r>
    </w:p>
    <w:p w:rsidR="005F2097" w:rsidRPr="00BD5BB8" w:rsidRDefault="005F2097" w:rsidP="005F2097">
      <w:pPr>
        <w:spacing w:after="0" w:line="240" w:lineRule="auto"/>
        <w:jc w:val="both"/>
        <w:rPr>
          <w:rFonts w:ascii="Times New Roman Bold" w:hAnsi="Times New Roman Bold" w:cs="Times New Roman"/>
          <w:b/>
          <w:caps/>
          <w:sz w:val="28"/>
          <w:szCs w:val="28"/>
        </w:rPr>
      </w:pPr>
      <w:r w:rsidRPr="00BD5BB8">
        <w:rPr>
          <w:rFonts w:ascii="Times New Roman Bold" w:hAnsi="Times New Roman Bold" w:cs="Times New Roman"/>
          <w:b/>
          <w:caps/>
          <w:sz w:val="28"/>
          <w:szCs w:val="28"/>
        </w:rPr>
        <w:t>Европейски и международни ангажименти на България за посрещане на демографските предизвикателства, свързани със застаряването на населението</w:t>
      </w:r>
    </w:p>
    <w:p w:rsidR="005F2097" w:rsidRPr="00BD5BB8" w:rsidRDefault="005F2097" w:rsidP="005F2097">
      <w:pPr>
        <w:spacing w:after="0" w:line="240" w:lineRule="auto"/>
        <w:jc w:val="both"/>
        <w:rPr>
          <w:rFonts w:ascii="Times New Roman" w:hAnsi="Times New Roman" w:cs="Times New Roman"/>
          <w:b/>
          <w:sz w:val="32"/>
          <w:szCs w:val="32"/>
        </w:rPr>
      </w:pPr>
    </w:p>
    <w:p w:rsidR="005F2097" w:rsidRPr="00BD5BB8" w:rsidRDefault="005F2097" w:rsidP="005F2097">
      <w:pPr>
        <w:spacing w:after="0" w:line="240" w:lineRule="auto"/>
        <w:jc w:val="both"/>
        <w:rPr>
          <w:rFonts w:ascii="Times New Roman" w:hAnsi="Times New Roman" w:cs="Times New Roman"/>
          <w:b/>
          <w:sz w:val="28"/>
          <w:szCs w:val="28"/>
        </w:rPr>
      </w:pPr>
      <w:r w:rsidRPr="00BD5BB8">
        <w:rPr>
          <w:rFonts w:ascii="Times New Roman" w:hAnsi="Times New Roman" w:cs="Times New Roman"/>
          <w:b/>
          <w:sz w:val="28"/>
          <w:szCs w:val="28"/>
        </w:rPr>
        <w:t>2.1. Принос на България в подготовката на</w:t>
      </w:r>
      <w:r w:rsidRPr="00BD5BB8">
        <w:rPr>
          <w:rFonts w:ascii="Times New Roman" w:hAnsi="Times New Roman" w:cs="Times New Roman"/>
          <w:b/>
          <w:sz w:val="24"/>
          <w:szCs w:val="24"/>
        </w:rPr>
        <w:t xml:space="preserve"> </w:t>
      </w:r>
      <w:r w:rsidRPr="00BD5BB8">
        <w:rPr>
          <w:rFonts w:ascii="Times New Roman" w:hAnsi="Times New Roman" w:cs="Times New Roman"/>
          <w:b/>
          <w:sz w:val="28"/>
          <w:szCs w:val="28"/>
        </w:rPr>
        <w:t>Трети цикъл на преглед и оценка на Международния план за действие по застаряването, приет в Мадрид през 2002 г. и Регионалната стратегия за Европа за неговото изпълнение.</w:t>
      </w:r>
    </w:p>
    <w:p w:rsidR="005F2097" w:rsidRPr="00BD5BB8" w:rsidRDefault="005F2097" w:rsidP="005F2097">
      <w:pPr>
        <w:spacing w:after="0" w:line="240" w:lineRule="auto"/>
        <w:jc w:val="both"/>
        <w:rPr>
          <w:rFonts w:ascii="Times New Roman" w:hAnsi="Times New Roman" w:cs="Times New Roman"/>
          <w:b/>
          <w:sz w:val="24"/>
          <w:szCs w:val="24"/>
        </w:rPr>
      </w:pPr>
    </w:p>
    <w:p w:rsidR="005F2097" w:rsidRPr="00BD5BB8" w:rsidRDefault="005F2097" w:rsidP="005F2097">
      <w:pPr>
        <w:shd w:val="clear" w:color="auto" w:fill="FFFFFF" w:themeFill="background1"/>
        <w:tabs>
          <w:tab w:val="left" w:pos="993"/>
        </w:tabs>
        <w:autoSpaceDE w:val="0"/>
        <w:autoSpaceDN w:val="0"/>
        <w:adjustRightInd w:val="0"/>
        <w:spacing w:after="0" w:line="240" w:lineRule="auto"/>
        <w:jc w:val="center"/>
        <w:rPr>
          <w:rFonts w:ascii="Times New Roman" w:eastAsia="MS Mincho" w:hAnsi="Times New Roman" w:cs="Times New Roman"/>
          <w:b/>
          <w:strike/>
          <w:sz w:val="24"/>
          <w:szCs w:val="24"/>
        </w:rPr>
      </w:pPr>
      <w:r w:rsidRPr="00BD5BB8">
        <w:rPr>
          <w:rFonts w:ascii="Times New Roman" w:hAnsi="Times New Roman" w:cs="Times New Roman"/>
          <w:b/>
          <w:sz w:val="24"/>
          <w:szCs w:val="24"/>
        </w:rPr>
        <w:t xml:space="preserve">Участие в </w:t>
      </w:r>
      <w:r w:rsidR="00557B17" w:rsidRPr="00BD5BB8">
        <w:rPr>
          <w:rFonts w:ascii="Times New Roman" w:hAnsi="Times New Roman" w:cs="Times New Roman"/>
          <w:b/>
          <w:sz w:val="24"/>
          <w:szCs w:val="24"/>
        </w:rPr>
        <w:t>десетото и единадесетото</w:t>
      </w:r>
      <w:r w:rsidRPr="00BD5BB8">
        <w:rPr>
          <w:rFonts w:ascii="Times New Roman" w:hAnsi="Times New Roman" w:cs="Times New Roman"/>
          <w:b/>
          <w:sz w:val="24"/>
          <w:szCs w:val="24"/>
        </w:rPr>
        <w:t xml:space="preserve"> заседание на Работната група по застаряване към Икономическата комисия на ООН за Европа (ИКЕООН), </w:t>
      </w:r>
      <w:r w:rsidR="00557B17" w:rsidRPr="00BD5BB8">
        <w:rPr>
          <w:rFonts w:ascii="Times New Roman" w:hAnsi="Times New Roman" w:cs="Times New Roman"/>
          <w:b/>
          <w:sz w:val="24"/>
          <w:szCs w:val="24"/>
        </w:rPr>
        <w:t>през 2017</w:t>
      </w:r>
      <w:r w:rsidRPr="00BD5BB8">
        <w:rPr>
          <w:rFonts w:ascii="Times New Roman" w:hAnsi="Times New Roman" w:cs="Times New Roman"/>
          <w:b/>
          <w:sz w:val="24"/>
          <w:szCs w:val="24"/>
        </w:rPr>
        <w:t xml:space="preserve"> г.</w:t>
      </w:r>
      <w:r w:rsidR="00557B17" w:rsidRPr="00BD5BB8">
        <w:rPr>
          <w:rFonts w:ascii="Times New Roman" w:hAnsi="Times New Roman" w:cs="Times New Roman"/>
          <w:b/>
          <w:sz w:val="24"/>
          <w:szCs w:val="24"/>
        </w:rPr>
        <w:t xml:space="preserve"> и 2018 г.</w:t>
      </w:r>
    </w:p>
    <w:p w:rsidR="005F2097" w:rsidRPr="00BD5BB8" w:rsidRDefault="005F2097" w:rsidP="005F2097">
      <w:pPr>
        <w:shd w:val="clear" w:color="auto" w:fill="FFFFFF" w:themeFill="background1"/>
        <w:tabs>
          <w:tab w:val="left" w:pos="993"/>
        </w:tabs>
        <w:autoSpaceDE w:val="0"/>
        <w:autoSpaceDN w:val="0"/>
        <w:adjustRightInd w:val="0"/>
        <w:spacing w:after="0" w:line="240" w:lineRule="auto"/>
        <w:jc w:val="both"/>
        <w:rPr>
          <w:rFonts w:ascii="Times New Roman" w:eastAsia="MS Mincho" w:hAnsi="Times New Roman" w:cs="Times New Roman"/>
          <w:strike/>
          <w:sz w:val="24"/>
          <w:szCs w:val="24"/>
        </w:rPr>
      </w:pPr>
    </w:p>
    <w:p w:rsidR="005F2097" w:rsidRPr="00BD5BB8" w:rsidRDefault="005F2097" w:rsidP="005F2097">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В </w:t>
      </w:r>
      <w:r w:rsidR="00557B17" w:rsidRPr="00BD5BB8">
        <w:rPr>
          <w:rFonts w:ascii="Times New Roman" w:hAnsi="Times New Roman" w:cs="Times New Roman"/>
          <w:sz w:val="24"/>
          <w:szCs w:val="24"/>
        </w:rPr>
        <w:t>десетото и единадесетото</w:t>
      </w:r>
      <w:r w:rsidRPr="00BD5BB8">
        <w:rPr>
          <w:rFonts w:ascii="Times New Roman" w:hAnsi="Times New Roman" w:cs="Times New Roman"/>
          <w:sz w:val="24"/>
          <w:szCs w:val="24"/>
        </w:rPr>
        <w:t xml:space="preserve"> заседание на Работната група по застаряване към Икономическата комисия на ООН за Европа (ИКЕООН) участваха представители на държавната администрация от страните-членки на ООН, представители на международни неправителствени организации, както и представители на международни институции, които имат отношение по темата за активния живот на възрастните хора.</w:t>
      </w:r>
    </w:p>
    <w:p w:rsidR="005F2097" w:rsidRPr="00BD5BB8" w:rsidRDefault="00C23D07" w:rsidP="005F2097">
      <w:pPr>
        <w:spacing w:after="0" w:line="240" w:lineRule="auto"/>
        <w:ind w:firstLine="601"/>
        <w:jc w:val="both"/>
        <w:rPr>
          <w:rFonts w:ascii="Times New Roman" w:hAnsi="Times New Roman" w:cs="Times New Roman"/>
          <w:sz w:val="24"/>
          <w:szCs w:val="24"/>
        </w:rPr>
      </w:pPr>
      <w:r w:rsidRPr="00BD5BB8">
        <w:rPr>
          <w:rFonts w:ascii="Times New Roman" w:hAnsi="Times New Roman" w:cs="Times New Roman"/>
          <w:sz w:val="24"/>
          <w:szCs w:val="24"/>
        </w:rPr>
        <w:t>В заседанията на Работната група по застаряване като пълноправен член участва и представител на Бъгария,  който е експерт в Министарството на труда и социалната политика.</w:t>
      </w:r>
      <w:r w:rsidR="00166650" w:rsidRPr="00BD5BB8">
        <w:rPr>
          <w:rFonts w:ascii="Times New Roman" w:hAnsi="Times New Roman" w:cs="Times New Roman"/>
          <w:sz w:val="24"/>
          <w:szCs w:val="24"/>
        </w:rPr>
        <w:t xml:space="preserve"> Така страната ни има възможност, както да се запознава с актуалните въпроси от дневния ред на международните дейности в областта на застаряването така и да представя изпълнението на мерки и дейности на отговорните българските институции, ведомства и организации, работещи в областта на активния живот на възрастните хора у нас.</w:t>
      </w:r>
    </w:p>
    <w:p w:rsidR="00AE7304" w:rsidRPr="00BD5BB8" w:rsidRDefault="00AE7304" w:rsidP="00166650">
      <w:pPr>
        <w:spacing w:after="0" w:line="240" w:lineRule="auto"/>
        <w:jc w:val="both"/>
        <w:rPr>
          <w:rFonts w:ascii="Times New Roman" w:hAnsi="Times New Roman" w:cs="Times New Roman"/>
          <w:sz w:val="24"/>
          <w:szCs w:val="24"/>
        </w:rPr>
      </w:pPr>
      <w:r w:rsidRPr="00BD5BB8">
        <w:rPr>
          <w:rFonts w:ascii="Times New Roman" w:hAnsi="Times New Roman" w:cs="Times New Roman"/>
          <w:b/>
          <w:sz w:val="28"/>
          <w:szCs w:val="28"/>
        </w:rPr>
        <w:tab/>
      </w:r>
      <w:r w:rsidRPr="00BD5BB8">
        <w:rPr>
          <w:rFonts w:ascii="Times New Roman" w:hAnsi="Times New Roman" w:cs="Times New Roman"/>
          <w:sz w:val="24"/>
          <w:szCs w:val="24"/>
        </w:rPr>
        <w:t xml:space="preserve">По време на десетото заседание на Работната група по застаряване беше представен доклад и бяха обсъдени резултатите от Министерската конференция по застаряване на ИКЕООН, проведена в Лисабон на 21-22 септември 2017 г. Представителят на Португалия очерта накратко основните послания от Министерската конференция и докладва за приемането на Министерската декларация. От страна на Секретариата на Работната група беше споделен опит относно подготовката и обсъждането на Министерската декларация, както и относно отсяването на ключови изводи от трите експертни и министерски панели по време на конференцията: </w:t>
      </w:r>
    </w:p>
    <w:p w:rsidR="00AE7304" w:rsidRPr="00BD5BB8" w:rsidRDefault="00AE7304" w:rsidP="00C23D07">
      <w:pPr>
        <w:pStyle w:val="ListParagraph"/>
        <w:numPr>
          <w:ilvl w:val="0"/>
          <w:numId w:val="37"/>
        </w:numPr>
        <w:ind w:left="709"/>
        <w:jc w:val="both"/>
      </w:pPr>
      <w:r w:rsidRPr="00BD5BB8">
        <w:t>Признаване на потенциала на възрастните хора;</w:t>
      </w:r>
    </w:p>
    <w:p w:rsidR="00AE7304" w:rsidRPr="00BD5BB8" w:rsidRDefault="00AE7304" w:rsidP="00C23D07">
      <w:pPr>
        <w:pStyle w:val="ListParagraph"/>
        <w:numPr>
          <w:ilvl w:val="0"/>
          <w:numId w:val="37"/>
        </w:numPr>
        <w:ind w:left="709"/>
        <w:jc w:val="both"/>
      </w:pPr>
      <w:r w:rsidRPr="00BD5BB8">
        <w:t>Насърчаване на по-дългото оставане на работа и работоспособността;</w:t>
      </w:r>
    </w:p>
    <w:p w:rsidR="00AE7304" w:rsidRPr="00BD5BB8" w:rsidRDefault="00AE7304" w:rsidP="00C23D07">
      <w:pPr>
        <w:pStyle w:val="ListParagraph"/>
        <w:numPr>
          <w:ilvl w:val="0"/>
          <w:numId w:val="37"/>
        </w:numPr>
        <w:ind w:left="709"/>
        <w:jc w:val="both"/>
      </w:pPr>
      <w:r w:rsidRPr="00BD5BB8">
        <w:t>Осигуряване на достойно остаряване.</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По време на дискусията представителят на Европейската комисия изтъкна важността на Министерската декларация от Лисабон и постави въпроса за осъвременяване на Международния план за действие по застаряването от Мадрид под формата на политическа декларация на глобално ниво.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Представителите на неправителствените организации и на изследователите в областта на застаряването запознаха членовете на Работната група с основните изводи от своите форуми, които бяха проведени непосредствено преди Министерската конференция, на 20 септември 2017 г.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lastRenderedPageBreak/>
        <w:t xml:space="preserve">Във връзка с параграф 38 от Министерската декларация от Лисабон, който се отнася до „възможността за трансформация, която не е свързана с допълнителни ресурси, на Работната група по застаряване в секторен комитет“, Секретариатът на Работната група по застаряване предложи да основе група за консултации, която да начертае следващите стъпки в тази посока.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В заключение беше докладвано, че Министерската декларация от Лисабон е налична на официалните езици на ИКЕООН и е публикувана на уеб-сайта на организацията. От Секретариата на Работната група обявиха, че ще приветстват преводи на Декларацията от страните-членки, за да ги публикуват на уеб-сайта на ИКЕООН. Декларацията от Лисабон е преведена на български език и е качена на уеб-сайта на Министерството на труда и социалната политика.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На заседанието бяха представени нови и текущи международни инициативи в областта на застаряването от представители на Организацията за икономическо сътрудничество и развитие (ОИСР) и на Международната организация на труда (МОТ). Естония докладва за конференция, проведена на 12-13 октомври 2017 г. в рамките на Председателството на Европейския съюз, на тема „Достойнство и независим живот“.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Беше проведено първоначално обсъждане на работната програма на Работната група по застаряване във връзка с Четвъртия цикъл за преглед и оценка по изпълнението на Международния план за действие по застаряването от Мадрид и на Регионалната стратегия за Европа към него (2018 – 2022 г.). Секретариатът поощри представителите на министерствата да докладват и по изпълнението на Целите за устойчиво развитие по Програмата 2030.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Членовете на Работната група по застаряване обсъдиха в три отделни групи приоритетните области и отделните елементи на бъдещата работна програма, съгласно целите на т.нар. четвърти цикъл за преглед и оценка, заложени в Министерската декларация от Лисабон. След дискусиите по групи, докладчик от всяка група представи резюме на направените предложения. Накрая бяха откроени някои общи елементи: </w:t>
      </w:r>
    </w:p>
    <w:p w:rsidR="00AE7304" w:rsidRPr="00BD5BB8" w:rsidRDefault="00AE7304" w:rsidP="00C23D07">
      <w:pPr>
        <w:pStyle w:val="ListParagraph"/>
        <w:numPr>
          <w:ilvl w:val="0"/>
          <w:numId w:val="38"/>
        </w:numPr>
        <w:ind w:left="709"/>
        <w:jc w:val="both"/>
      </w:pPr>
      <w:r w:rsidRPr="00BD5BB8">
        <w:t xml:space="preserve">нуждата от сесии за обмяна на опит и провеждането на майсторски класове; </w:t>
      </w:r>
    </w:p>
    <w:p w:rsidR="00AE7304" w:rsidRPr="00BD5BB8" w:rsidRDefault="00AE7304" w:rsidP="00C23D07">
      <w:pPr>
        <w:pStyle w:val="ListParagraph"/>
        <w:numPr>
          <w:ilvl w:val="0"/>
          <w:numId w:val="38"/>
        </w:numPr>
        <w:ind w:left="709"/>
        <w:jc w:val="both"/>
      </w:pPr>
      <w:r w:rsidRPr="00BD5BB8">
        <w:t xml:space="preserve">изготвянето на пътни карти и стратегии във връзка със застаряването; </w:t>
      </w:r>
    </w:p>
    <w:p w:rsidR="00AE7304" w:rsidRPr="00BD5BB8" w:rsidRDefault="00AE7304" w:rsidP="00C23D07">
      <w:pPr>
        <w:pStyle w:val="ListParagraph"/>
        <w:numPr>
          <w:ilvl w:val="0"/>
          <w:numId w:val="38"/>
        </w:numPr>
        <w:ind w:left="709"/>
        <w:jc w:val="both"/>
      </w:pPr>
      <w:r w:rsidRPr="00BD5BB8">
        <w:t>необходимостта от повече изследвания относно връзката между застаряването и технологиите;</w:t>
      </w:r>
    </w:p>
    <w:p w:rsidR="00AE7304" w:rsidRPr="00BD5BB8" w:rsidRDefault="00AE7304" w:rsidP="00C23D07">
      <w:pPr>
        <w:pStyle w:val="ListParagraph"/>
        <w:numPr>
          <w:ilvl w:val="0"/>
          <w:numId w:val="38"/>
        </w:numPr>
        <w:ind w:left="709"/>
        <w:jc w:val="both"/>
      </w:pPr>
      <w:r w:rsidRPr="00BD5BB8">
        <w:t xml:space="preserve">наличието на връзки между Министерската декларация от Лисабон и Целите за устойчиво развитие по Програмата 2030.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Следващата тема за обсъждане на трите работни групи беше дефиниране на концепции и приоритетни области за поредния кратък преглед на политиките, озаглавен „Иновативни социални услуги и мерки в подкрепа на независимия живот в напреднала възраст“. Първата група обсъди дефинициите за напреднала възраст и свързаните с нея предизвикателства, втората група обсъди иновативните социални услуги и подкрепящи мерки, а третата група коментира независимия живот.  Резултатите от работата на групите ще служат за отправни точки при изготвянето на документа.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Секретариатът представи доклад за изпълнението на работната програма за 2017 г. на Работната група по застаряване. Основните акценти от работата на групата включваха:</w:t>
      </w:r>
    </w:p>
    <w:p w:rsidR="00AE7304" w:rsidRPr="00BD5BB8" w:rsidRDefault="00AE7304" w:rsidP="00C23D07">
      <w:pPr>
        <w:pStyle w:val="ListParagraph"/>
        <w:numPr>
          <w:ilvl w:val="0"/>
          <w:numId w:val="39"/>
        </w:numPr>
        <w:ind w:left="709"/>
        <w:jc w:val="both"/>
      </w:pPr>
      <w:r w:rsidRPr="00BD5BB8">
        <w:t>две публикации с кратък преглед на политиките на следните теми „Възрастните хора в селските и отдалечени райони“ и „Реализиране на потенциала от по-дългия живот“;</w:t>
      </w:r>
    </w:p>
    <w:p w:rsidR="00AE7304" w:rsidRPr="00BD5BB8" w:rsidRDefault="00AE7304" w:rsidP="00C23D07">
      <w:pPr>
        <w:pStyle w:val="ListParagraph"/>
        <w:numPr>
          <w:ilvl w:val="0"/>
          <w:numId w:val="39"/>
        </w:numPr>
        <w:ind w:left="709"/>
        <w:jc w:val="both"/>
      </w:pPr>
      <w:r w:rsidRPr="00BD5BB8">
        <w:lastRenderedPageBreak/>
        <w:t>реализирани дейности по изграждане на капацитет – във връзка с използването на Индекса за активен живот на възрастните хора е проведен национален семинар в Италия през месец май 2017 г., организиран в партньорство с Италианския национален изследователски център по застаряване;</w:t>
      </w:r>
    </w:p>
    <w:p w:rsidR="00AE7304" w:rsidRPr="00BD5BB8" w:rsidRDefault="00AE7304" w:rsidP="00C23D07">
      <w:pPr>
        <w:pStyle w:val="ListParagraph"/>
        <w:numPr>
          <w:ilvl w:val="0"/>
          <w:numId w:val="39"/>
        </w:numPr>
        <w:ind w:left="709"/>
        <w:jc w:val="both"/>
      </w:pPr>
      <w:r w:rsidRPr="00BD5BB8">
        <w:t>обзор на извършената работа в рамките на съвместна дейност между Европейската комисия и Икономическата комисия на ООН за Европа - проект „Индекс за активен живот на възрастните хора“.</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Работната група по застаряване към Икономическата комисия на ООН за Европа (ИКЕООН) одобри списъка с основните решения, взети по време на десетото заседание на работната група.</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Единадесетото заседание на Работната група по застаряване към Икономическата комисия на ООН за Европа (ИКЕООН) бе проведено на 22-23 ноември 2018 г.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Бюрото на Работната група по застаряване докладва пред участниците в заседанието за проведените дейности и събития, свързани със застаряването през 2018 г. Специално внимание бе обърнато на проведените преговори и консултации с представители на страните-членки на ИКЕООН в Женева за трансформиране на работната група в постоянен комитет – не е постигнат консенсус.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По време на заседанието беше представен опит във връзка с развитието на политиките по застаряване в няколко страни-членки на ИКЕООН – Република Чехия, Република Молдова и Италия.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Секретариатът на Работната група по застаряване представи изпълнението по основните елементи от работната програма за 2018 г.:</w:t>
      </w:r>
    </w:p>
    <w:p w:rsidR="00AE7304" w:rsidRPr="00BD5BB8" w:rsidRDefault="00AE7304" w:rsidP="00C23D07">
      <w:pPr>
        <w:pStyle w:val="ListParagraph"/>
        <w:numPr>
          <w:ilvl w:val="0"/>
          <w:numId w:val="40"/>
        </w:numPr>
        <w:ind w:left="709"/>
        <w:jc w:val="both"/>
      </w:pPr>
      <w:r w:rsidRPr="00BD5BB8">
        <w:t>изготвени две публикации с кратък преглед на политиките по застаряване;</w:t>
      </w:r>
    </w:p>
    <w:p w:rsidR="00AE7304" w:rsidRPr="00BD5BB8" w:rsidRDefault="00AE7304" w:rsidP="00C23D07">
      <w:pPr>
        <w:pStyle w:val="ListParagraph"/>
        <w:numPr>
          <w:ilvl w:val="0"/>
          <w:numId w:val="40"/>
        </w:numPr>
        <w:ind w:left="709"/>
        <w:jc w:val="both"/>
      </w:pPr>
      <w:r w:rsidRPr="00BD5BB8">
        <w:t>реализирани дейности по изграждане на капацитет – във връзка с използването на Индекса за активен живот на възрастните хора е проведен семинар в Полша през месец юни 2018 г. и в Испания през месец септември 2018 г.;</w:t>
      </w:r>
    </w:p>
    <w:p w:rsidR="00AE7304" w:rsidRPr="00BD5BB8" w:rsidRDefault="00AE7304" w:rsidP="00C23D07">
      <w:pPr>
        <w:pStyle w:val="ListParagraph"/>
        <w:numPr>
          <w:ilvl w:val="0"/>
          <w:numId w:val="40"/>
        </w:numPr>
        <w:ind w:left="709"/>
        <w:jc w:val="both"/>
      </w:pPr>
      <w:r w:rsidRPr="00BD5BB8">
        <w:t>обзор на извършената работа в рамките на съвместна дейност между Европейската комисия и Икономическата комисия на ООН за Европа - проект „Индекс за активен живот на възрастните хора“.</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Като нов елемент от работната програма беше представена идеята за провеждане на тематични семинари, следващи ежегодните заседания на Работната група по застаряване. За 2018 г. първият пилотен семинар, следващ единадесетото заседание на работната група, бе проведен на 21 ноември на тема „Застаряването и целите за устойчиво развитие“. Участниците в заседанието коментираха и впоследствие одобриха доклада за изпълнението на основните елементи от работната програма на групата за 2018 г.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Секретариатът представи и проект на работна програма на Работната група по застаряване за 2019 г. Като основни елементи в програмата бяха откроени тематичен семинар, публикации с кратък преглед на политиките по застаряване, дейности по изграждане на капацитет и подготовка за Четвъртия цикъл за преглед и оценка по изпълнението на Международния план за действие по застаряването от Мадрид и на Регионалната стратегия за Европа към него (2018 – 2022 г.).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Членовете на Работната група по застаряване обсъдиха в три отделни групи предложените теми на предстоящите публикации с кратък преглед на политиките по застаряване през 2019 г. След дискусиите по групи, докладчик от всяка група представи подредбата на предложените теми за публикации. Накрая бяха откроени общите предложения за теми от трите работни групи: </w:t>
      </w:r>
    </w:p>
    <w:p w:rsidR="00AE7304" w:rsidRPr="00BD5BB8" w:rsidRDefault="00AE7304" w:rsidP="00C23D07">
      <w:pPr>
        <w:pStyle w:val="ListParagraph"/>
        <w:numPr>
          <w:ilvl w:val="0"/>
          <w:numId w:val="41"/>
        </w:numPr>
        <w:ind w:left="709"/>
        <w:jc w:val="both"/>
      </w:pPr>
      <w:r w:rsidRPr="00BD5BB8">
        <w:lastRenderedPageBreak/>
        <w:t xml:space="preserve">Възрастните хора в спешни ситуации; </w:t>
      </w:r>
    </w:p>
    <w:p w:rsidR="00AE7304" w:rsidRPr="00BD5BB8" w:rsidRDefault="00AE7304" w:rsidP="00C23D07">
      <w:pPr>
        <w:pStyle w:val="ListParagraph"/>
        <w:numPr>
          <w:ilvl w:val="0"/>
          <w:numId w:val="41"/>
        </w:numPr>
        <w:ind w:left="709"/>
        <w:jc w:val="both"/>
      </w:pPr>
      <w:r w:rsidRPr="00BD5BB8">
        <w:t xml:space="preserve">Дигитализация и електронно правителство; </w:t>
      </w:r>
    </w:p>
    <w:p w:rsidR="00AE7304" w:rsidRPr="00BD5BB8" w:rsidRDefault="00AE7304" w:rsidP="00C23D07">
      <w:pPr>
        <w:pStyle w:val="ListParagraph"/>
        <w:numPr>
          <w:ilvl w:val="0"/>
          <w:numId w:val="41"/>
        </w:numPr>
        <w:ind w:left="709"/>
        <w:jc w:val="both"/>
      </w:pPr>
      <w:r w:rsidRPr="00BD5BB8">
        <w:t>Мейнстрийминг на застаряването.</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Председателят на Работната група по застаряване представи идеята за разработване на Насоки за мейнстрийминг на застаряването като нов елемент от работната програма за 2019 г. Работната група отново се раздели на три малки групи, за да обсъди предложението и всеки да даде своя принос към насоките. В рамките на работните групи представителите на отделните страни-членки на ИКЕООН представиха накратко своите политики по застаряване. От страна на България беше представена институционалната рамка и стратегическите документи в областта на застаряването, както и предвидените бъдещи действия. В резултат от проведените дискусии Работната група по застаряване се обедини около решението да разработи и публикува Насоки за мейнстрийминг на застаряването, като за целта бъде сформирана оперативна група (task force). Участниците в заседанието одобриха предложената работна програма на групата за 2019 г.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Участниците в заседанието бяха информирани за резултатите от Регионална конференция на ИКЕООН на тема „Динамика на населението и устойчиво развитие“, проведена на 1-2 октомври 2018 г. в гр. Женева. </w:t>
      </w:r>
    </w:p>
    <w:p w:rsidR="00AE7304" w:rsidRPr="00BD5BB8" w:rsidRDefault="00AE7304" w:rsidP="00AE7304">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Работната група по застаряване към Икономическата комисия на ООН за Европа (ИКЕООН) одобри списъка с основните решения, взети по време на единадесетото заседание на работната група.</w:t>
      </w:r>
    </w:p>
    <w:p w:rsidR="00AE7304" w:rsidRPr="00BD5BB8" w:rsidRDefault="00AE7304" w:rsidP="00AE7304">
      <w:pPr>
        <w:spacing w:after="0" w:line="240" w:lineRule="auto"/>
        <w:jc w:val="both"/>
        <w:rPr>
          <w:rFonts w:ascii="Times New Roman" w:hAnsi="Times New Roman" w:cs="Times New Roman"/>
          <w:b/>
          <w:sz w:val="28"/>
          <w:szCs w:val="28"/>
        </w:rPr>
      </w:pPr>
    </w:p>
    <w:p w:rsidR="00D824DE" w:rsidRPr="00BD5BB8" w:rsidRDefault="00D824DE" w:rsidP="00D824DE">
      <w:pPr>
        <w:spacing w:after="0" w:line="240" w:lineRule="auto"/>
        <w:jc w:val="both"/>
        <w:rPr>
          <w:rFonts w:ascii="Times New Roman" w:hAnsi="Times New Roman" w:cs="Times New Roman"/>
          <w:b/>
          <w:sz w:val="28"/>
          <w:szCs w:val="28"/>
        </w:rPr>
      </w:pPr>
      <w:r w:rsidRPr="00BD5BB8">
        <w:rPr>
          <w:rFonts w:ascii="Times New Roman" w:hAnsi="Times New Roman" w:cs="Times New Roman"/>
          <w:b/>
          <w:sz w:val="28"/>
          <w:szCs w:val="28"/>
        </w:rPr>
        <w:t>2.2</w:t>
      </w:r>
      <w:r w:rsidRPr="00BD5BB8">
        <w:rPr>
          <w:rFonts w:ascii="Times New Roman" w:hAnsi="Times New Roman" w:cs="Times New Roman"/>
          <w:b/>
          <w:bCs/>
          <w:sz w:val="28"/>
          <w:szCs w:val="28"/>
        </w:rPr>
        <w:t>. Участие на България</w:t>
      </w:r>
      <w:r w:rsidRPr="00BD5BB8">
        <w:rPr>
          <w:rFonts w:ascii="Times New Roman" w:eastAsia="Times New Roman" w:hAnsi="Times New Roman" w:cs="Times New Roman"/>
          <w:sz w:val="24"/>
          <w:szCs w:val="24"/>
          <w:lang w:eastAsia="bg-BG"/>
        </w:rPr>
        <w:t xml:space="preserve"> </w:t>
      </w:r>
      <w:r w:rsidRPr="00BD5BB8">
        <w:rPr>
          <w:rFonts w:ascii="Times New Roman" w:hAnsi="Times New Roman" w:cs="Times New Roman"/>
          <w:b/>
          <w:sz w:val="28"/>
          <w:szCs w:val="28"/>
        </w:rPr>
        <w:t xml:space="preserve">в </w:t>
      </w:r>
      <w:r w:rsidRPr="00BD5BB8">
        <w:rPr>
          <w:rFonts w:ascii="Times New Roman" w:hAnsi="Times New Roman" w:cs="Times New Roman"/>
          <w:b/>
          <w:bCs/>
          <w:sz w:val="28"/>
          <w:szCs w:val="28"/>
        </w:rPr>
        <w:t>Конференция на министрите по въпросите на застаряването</w:t>
      </w:r>
      <w:r w:rsidRPr="00BD5BB8">
        <w:rPr>
          <w:rFonts w:ascii="Times New Roman" w:hAnsi="Times New Roman" w:cs="Times New Roman"/>
          <w:b/>
          <w:sz w:val="28"/>
          <w:szCs w:val="28"/>
        </w:rPr>
        <w:t xml:space="preserve"> под</w:t>
      </w:r>
      <w:r w:rsidRPr="00BD5BB8">
        <w:rPr>
          <w:rFonts w:ascii="Times New Roman" w:hAnsi="Times New Roman" w:cs="Times New Roman"/>
          <w:b/>
          <w:bCs/>
          <w:sz w:val="28"/>
          <w:szCs w:val="28"/>
        </w:rPr>
        <w:t xml:space="preserve"> надслов „Устойчиво общество за всички възрасти: реализиране на потенциала от удължаването на живота“</w:t>
      </w:r>
      <w:r w:rsidRPr="00BD5BB8">
        <w:rPr>
          <w:rFonts w:ascii="Times New Roman" w:hAnsi="Times New Roman" w:cs="Times New Roman"/>
          <w:b/>
          <w:sz w:val="28"/>
          <w:szCs w:val="28"/>
        </w:rPr>
        <w:t xml:space="preserve">, която се проведе на 21 и 22 </w:t>
      </w:r>
      <w:r w:rsidRPr="00BD5BB8">
        <w:rPr>
          <w:rFonts w:ascii="Times New Roman" w:hAnsi="Times New Roman" w:cs="Times New Roman"/>
          <w:b/>
          <w:bCs/>
          <w:sz w:val="28"/>
          <w:szCs w:val="28"/>
        </w:rPr>
        <w:t xml:space="preserve">септември </w:t>
      </w:r>
      <w:r w:rsidRPr="00BD5BB8">
        <w:rPr>
          <w:rFonts w:ascii="Times New Roman" w:hAnsi="Times New Roman" w:cs="Times New Roman"/>
          <w:b/>
          <w:sz w:val="28"/>
          <w:szCs w:val="28"/>
        </w:rPr>
        <w:t xml:space="preserve">2017 г. в град </w:t>
      </w:r>
      <w:r w:rsidRPr="00BD5BB8">
        <w:rPr>
          <w:rFonts w:ascii="Times New Roman" w:hAnsi="Times New Roman" w:cs="Times New Roman"/>
          <w:b/>
          <w:bCs/>
          <w:sz w:val="28"/>
          <w:szCs w:val="28"/>
        </w:rPr>
        <w:t>Лисабон, Португалия</w:t>
      </w:r>
      <w:r w:rsidRPr="00BD5BB8">
        <w:rPr>
          <w:rFonts w:ascii="Times New Roman" w:hAnsi="Times New Roman" w:cs="Times New Roman"/>
          <w:b/>
          <w:sz w:val="28"/>
          <w:szCs w:val="28"/>
        </w:rPr>
        <w:t xml:space="preserve">.  </w:t>
      </w:r>
    </w:p>
    <w:p w:rsidR="00D824DE" w:rsidRPr="00D824DE" w:rsidRDefault="00D824DE" w:rsidP="00D824DE">
      <w:pPr>
        <w:spacing w:after="0" w:line="240" w:lineRule="auto"/>
        <w:jc w:val="both"/>
        <w:rPr>
          <w:rFonts w:ascii="Times New Roman" w:eastAsia="Times New Roman" w:hAnsi="Times New Roman" w:cs="Times New Roman"/>
          <w:sz w:val="24"/>
          <w:szCs w:val="24"/>
          <w:lang w:eastAsia="bg-BG"/>
        </w:rPr>
      </w:pPr>
      <w:r w:rsidRPr="00BD5BB8">
        <w:rPr>
          <w:rFonts w:ascii="Times New Roman" w:hAnsi="Times New Roman" w:cs="Times New Roman"/>
          <w:b/>
          <w:sz w:val="28"/>
          <w:szCs w:val="28"/>
        </w:rPr>
        <w:t xml:space="preserve"> </w:t>
      </w:r>
      <w:r w:rsidRPr="00BD5BB8">
        <w:rPr>
          <w:rFonts w:ascii="Times New Roman" w:hAnsi="Times New Roman" w:cs="Times New Roman"/>
          <w:b/>
          <w:sz w:val="24"/>
          <w:szCs w:val="24"/>
        </w:rPr>
        <w:tab/>
      </w:r>
      <w:r w:rsidRPr="00D824DE">
        <w:rPr>
          <w:rFonts w:ascii="Times New Roman" w:eastAsia="Times New Roman" w:hAnsi="Times New Roman" w:cs="Times New Roman"/>
          <w:sz w:val="24"/>
          <w:szCs w:val="24"/>
          <w:lang w:eastAsia="bg-BG"/>
        </w:rPr>
        <w:t xml:space="preserve">В конференцията, </w:t>
      </w:r>
      <w:r w:rsidRPr="00D824DE">
        <w:rPr>
          <w:rFonts w:ascii="Times New Roman" w:eastAsia="Times New Roman" w:hAnsi="Times New Roman" w:cs="Times New Roman"/>
          <w:bCs/>
          <w:sz w:val="24"/>
          <w:szCs w:val="24"/>
          <w:lang w:eastAsia="bg-BG"/>
        </w:rPr>
        <w:t xml:space="preserve">организираната от Икономическата комисия на ООН за Европа и португалското правителство, </w:t>
      </w:r>
      <w:r w:rsidRPr="00D824DE">
        <w:rPr>
          <w:rFonts w:ascii="Times New Roman" w:eastAsia="Times New Roman" w:hAnsi="Times New Roman" w:cs="Times New Roman"/>
          <w:sz w:val="24"/>
          <w:szCs w:val="24"/>
          <w:lang w:eastAsia="bg-BG"/>
        </w:rPr>
        <w:t>участваха представители от 55 страни-членки на ООН, представители на международни неправителствени организации, изследователи, както и представители на международни институции, които имат отношение по темата за активния живот на възрастните хора.</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bCs/>
          <w:sz w:val="24"/>
          <w:szCs w:val="24"/>
          <w:lang w:eastAsia="bg-BG"/>
        </w:rPr>
        <w:t xml:space="preserve">Конференцията </w:t>
      </w:r>
      <w:r w:rsidRPr="00D824DE">
        <w:rPr>
          <w:rFonts w:ascii="Times New Roman" w:eastAsia="Times New Roman" w:hAnsi="Times New Roman" w:cs="Times New Roman"/>
          <w:sz w:val="24"/>
          <w:szCs w:val="24"/>
          <w:lang w:eastAsia="bg-BG"/>
        </w:rPr>
        <w:t xml:space="preserve">бе открита от министъра на труда, солидарността и социалната закрила на Португалия, г-н Жозе Антонио Виейра да Силва. Министър Силва приветства участниците във форума и изтъкна, че солидарността е от съществено значение за постигането на общество за всички възрасти. Той напомни, че предизвикателствата могат да се преодолеят само с общи усилия и като пример за това посочи декларацията, която предстои да бъде приета на следващия ден от форума.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eastAsia="bg-BG"/>
        </w:rPr>
      </w:pPr>
      <w:r w:rsidRPr="00D824DE">
        <w:rPr>
          <w:rFonts w:ascii="Times New Roman" w:eastAsia="Times New Roman" w:hAnsi="Times New Roman" w:cs="Times New Roman"/>
          <w:sz w:val="24"/>
          <w:szCs w:val="24"/>
          <w:lang w:eastAsia="bg-BG"/>
        </w:rPr>
        <w:t xml:space="preserve">Приветствия към присъстващите отправи и г-н Адалберто Кампос Фернандес, министър на здравеопазването на Португалия, а от страна на </w:t>
      </w:r>
      <w:r w:rsidRPr="00D824DE">
        <w:rPr>
          <w:rFonts w:ascii="Times New Roman" w:eastAsia="Times New Roman" w:hAnsi="Times New Roman" w:cs="Times New Roman"/>
          <w:bCs/>
          <w:sz w:val="24"/>
          <w:szCs w:val="24"/>
          <w:lang w:eastAsia="bg-BG"/>
        </w:rPr>
        <w:t xml:space="preserve">Икономическата комисия на ООН за Европа бе отправено приветствие от г-жа Олга Алгайерова, изпълнителен секретар.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val="ru-RU" w:eastAsia="bg-BG"/>
        </w:rPr>
      </w:pPr>
      <w:r w:rsidRPr="00D824DE">
        <w:rPr>
          <w:rFonts w:ascii="Times New Roman" w:eastAsia="Times New Roman" w:hAnsi="Times New Roman" w:cs="Times New Roman"/>
          <w:bCs/>
          <w:sz w:val="24"/>
          <w:szCs w:val="24"/>
          <w:lang w:eastAsia="bg-BG"/>
        </w:rPr>
        <w:t>Следващата стъпка от форума бе приемането на програма и избиране на председател и заместник-председател. След като програмата беше приета, бяха представени и приети кандидатурите за председател (</w:t>
      </w:r>
      <w:r w:rsidRPr="00D824DE">
        <w:rPr>
          <w:rFonts w:ascii="Times New Roman" w:eastAsia="Times New Roman" w:hAnsi="Times New Roman" w:cs="Times New Roman"/>
          <w:sz w:val="24"/>
          <w:szCs w:val="24"/>
          <w:lang w:eastAsia="bg-BG"/>
        </w:rPr>
        <w:t xml:space="preserve">г-н Жозе Антонио Виейра да Силва, Португалия) и </w:t>
      </w:r>
      <w:r w:rsidRPr="00D824DE">
        <w:rPr>
          <w:rFonts w:ascii="Times New Roman" w:eastAsia="Times New Roman" w:hAnsi="Times New Roman" w:cs="Times New Roman"/>
          <w:bCs/>
          <w:sz w:val="24"/>
          <w:szCs w:val="24"/>
          <w:lang w:eastAsia="bg-BG"/>
        </w:rPr>
        <w:t xml:space="preserve">заместник-председател (г-жа Мартина Ву, Словения) на конференцията.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eastAsia="bg-BG"/>
        </w:rPr>
      </w:pPr>
      <w:r w:rsidRPr="00D824DE">
        <w:rPr>
          <w:rFonts w:ascii="Times New Roman" w:eastAsia="Times New Roman" w:hAnsi="Times New Roman" w:cs="Times New Roman"/>
          <w:bCs/>
          <w:sz w:val="24"/>
          <w:szCs w:val="24"/>
          <w:lang w:eastAsia="bg-BG"/>
        </w:rPr>
        <w:lastRenderedPageBreak/>
        <w:t xml:space="preserve">Г-жа Виталия Гаукайте Витич, началник на отдел „Население“ в ИКЕООН,  представи синтезиран доклад за изпълнението на Международния план за действие по застаряването от Мадрид и на Регионалната стратегия за Европа към него за периода 2012 – 2017 г. Г-жа Витич отбеляза, че синтезираният доклад е изготвен на базата на национални доклади, подадени от 46 страни-членки на ИКЕООН (включително България), което представлява 80 % от страните-членки на ИКЕООН. В подадената информация могат да се намерят както различия в политиките по изпълнението на Международния план за действие по застаряването от Мадрид и на Регионалната стратегия за Европа към него, така и сходни инициативи и практики. По отношение на бъдещата визия, повечето страни се ангажират да осигурят по-добро качество на живот и достойно остаряване на възрастните хора, както и да продължат да адаптират своите социални системи в тази посока.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val="ru-RU" w:eastAsia="bg-BG"/>
        </w:rPr>
      </w:pPr>
      <w:r w:rsidRPr="00D824DE">
        <w:rPr>
          <w:rFonts w:ascii="Times New Roman" w:eastAsia="Times New Roman" w:hAnsi="Times New Roman" w:cs="Times New Roman"/>
          <w:bCs/>
          <w:sz w:val="24"/>
          <w:szCs w:val="24"/>
          <w:lang w:eastAsia="bg-BG"/>
        </w:rPr>
        <w:t>Пленарната сесия завърши с изказване на г-н Хайнц Колер, регионален директор на Международната организация на труда (МОТ) за Европа и централна Азия. Г-н Колер напомни, че глобалните цели изискват национални и локални действия. Той добави, че населението на света застарява, а населението в активна възраст намалява. В Европа и централна Азия (общо 51 страни) предлагането на труд също намалява. В резултат от тези тенденции, страните са поставени пред предизвикателства, които изискват адекватни политики и мерки. В настоящия момент страните реализират различни реформи, в зависимост от специфичните характеристики на всяка от тях. Г-н Колер изтъкна, че от гледна точка на МОТ всички работни места трябва да бъдат достойни (</w:t>
      </w:r>
      <w:r w:rsidRPr="00D824DE">
        <w:rPr>
          <w:rFonts w:ascii="Times New Roman" w:eastAsia="Times New Roman" w:hAnsi="Times New Roman" w:cs="Times New Roman"/>
          <w:bCs/>
          <w:sz w:val="24"/>
          <w:szCs w:val="24"/>
          <w:lang w:val="en-US" w:eastAsia="bg-BG"/>
        </w:rPr>
        <w:t>decent</w:t>
      </w:r>
      <w:r w:rsidRPr="00D824DE">
        <w:rPr>
          <w:rFonts w:ascii="Times New Roman" w:eastAsia="Times New Roman" w:hAnsi="Times New Roman" w:cs="Times New Roman"/>
          <w:bCs/>
          <w:sz w:val="24"/>
          <w:szCs w:val="24"/>
          <w:lang w:val="ru-RU" w:eastAsia="bg-BG"/>
        </w:rPr>
        <w:t xml:space="preserve"> </w:t>
      </w:r>
      <w:r w:rsidRPr="00D824DE">
        <w:rPr>
          <w:rFonts w:ascii="Times New Roman" w:eastAsia="Times New Roman" w:hAnsi="Times New Roman" w:cs="Times New Roman"/>
          <w:bCs/>
          <w:sz w:val="24"/>
          <w:szCs w:val="24"/>
          <w:lang w:val="en-US" w:eastAsia="bg-BG"/>
        </w:rPr>
        <w:t>jobs</w:t>
      </w:r>
      <w:r w:rsidRPr="00D824DE">
        <w:rPr>
          <w:rFonts w:ascii="Times New Roman" w:eastAsia="Times New Roman" w:hAnsi="Times New Roman" w:cs="Times New Roman"/>
          <w:bCs/>
          <w:sz w:val="24"/>
          <w:szCs w:val="24"/>
          <w:lang w:val="ru-RU" w:eastAsia="bg-BG"/>
        </w:rPr>
        <w:t>)</w:t>
      </w:r>
      <w:r w:rsidRPr="00D824DE">
        <w:rPr>
          <w:rFonts w:ascii="Times New Roman" w:eastAsia="Times New Roman" w:hAnsi="Times New Roman" w:cs="Times New Roman"/>
          <w:bCs/>
          <w:sz w:val="24"/>
          <w:szCs w:val="24"/>
          <w:lang w:eastAsia="bg-BG"/>
        </w:rPr>
        <w:t>.</w:t>
      </w:r>
      <w:r w:rsidRPr="00D824DE">
        <w:rPr>
          <w:rFonts w:ascii="Times New Roman" w:eastAsia="Times New Roman" w:hAnsi="Times New Roman" w:cs="Times New Roman"/>
          <w:bCs/>
          <w:sz w:val="24"/>
          <w:szCs w:val="24"/>
          <w:lang w:val="ru-RU" w:eastAsia="bg-BG"/>
        </w:rPr>
        <w:t xml:space="preserve"> </w:t>
      </w:r>
    </w:p>
    <w:p w:rsidR="00D824DE" w:rsidRPr="00D824DE" w:rsidRDefault="00D824DE" w:rsidP="00D824DE">
      <w:pPr>
        <w:spacing w:after="0" w:line="240" w:lineRule="auto"/>
        <w:ind w:firstLine="709"/>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Във втората част на деня бяха организирани три тематични дискусионни панела за експерти:</w:t>
      </w:r>
      <w:r w:rsidRPr="00D824DE">
        <w:rPr>
          <w:rFonts w:ascii="Times New Roman" w:eastAsia="Times New Roman" w:hAnsi="Times New Roman" w:cs="Times New Roman"/>
          <w:sz w:val="24"/>
          <w:szCs w:val="24"/>
          <w:lang w:val="ru-RU" w:eastAsia="bg-BG"/>
        </w:rPr>
        <w:t xml:space="preserve"> </w:t>
      </w:r>
    </w:p>
    <w:p w:rsidR="00D824DE" w:rsidRPr="00D824DE" w:rsidRDefault="00D824DE" w:rsidP="00D824DE">
      <w:pPr>
        <w:numPr>
          <w:ilvl w:val="0"/>
          <w:numId w:val="10"/>
        </w:numPr>
        <w:spacing w:after="0" w:line="240" w:lineRule="auto"/>
        <w:ind w:left="709"/>
        <w:contextualSpacing/>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Признаване на потенциала на възрастните хора;</w:t>
      </w:r>
    </w:p>
    <w:p w:rsidR="00D824DE" w:rsidRPr="00D824DE" w:rsidRDefault="00D824DE" w:rsidP="00D824DE">
      <w:pPr>
        <w:numPr>
          <w:ilvl w:val="0"/>
          <w:numId w:val="10"/>
        </w:numPr>
        <w:spacing w:after="0" w:line="240" w:lineRule="auto"/>
        <w:ind w:left="709"/>
        <w:contextualSpacing/>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Насърчаване на по-дългото оставане на работа и работоспособността;</w:t>
      </w:r>
    </w:p>
    <w:p w:rsidR="00D824DE" w:rsidRPr="00D824DE" w:rsidRDefault="00D824DE" w:rsidP="00D824DE">
      <w:pPr>
        <w:numPr>
          <w:ilvl w:val="0"/>
          <w:numId w:val="10"/>
        </w:numPr>
        <w:spacing w:after="0" w:line="240" w:lineRule="auto"/>
        <w:ind w:left="709"/>
        <w:contextualSpacing/>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Осигуряване на достойно остаряване.</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eastAsia="bg-BG"/>
        </w:rPr>
      </w:pPr>
      <w:r w:rsidRPr="00D824DE">
        <w:rPr>
          <w:rFonts w:ascii="Times New Roman" w:eastAsia="Times New Roman" w:hAnsi="Times New Roman" w:cs="Times New Roman"/>
          <w:bCs/>
          <w:sz w:val="24"/>
          <w:szCs w:val="24"/>
          <w:lang w:eastAsia="bg-BG"/>
        </w:rPr>
        <w:t xml:space="preserve">Форматът на провеждане на трите панела беше идентичен. В рамките на всеки един от експертните панели имаше въвеждащо изказване, последвано от изказвания на представители на правителства, независими експерти/изследователи и представители на социални партньори/неправителствени организации.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bCs/>
          <w:sz w:val="24"/>
          <w:szCs w:val="24"/>
          <w:lang w:eastAsia="bg-BG"/>
        </w:rPr>
        <w:t>В рамките на първия експертен панел „</w:t>
      </w:r>
      <w:r w:rsidRPr="00D824DE">
        <w:rPr>
          <w:rFonts w:ascii="Times New Roman" w:eastAsia="Times New Roman" w:hAnsi="Times New Roman" w:cs="Times New Roman"/>
          <w:i/>
          <w:sz w:val="24"/>
          <w:szCs w:val="24"/>
          <w:lang w:eastAsia="bg-BG"/>
        </w:rPr>
        <w:t>Признаване на потенциала на възрастните хора“</w:t>
      </w:r>
      <w:r w:rsidRPr="00D824DE">
        <w:rPr>
          <w:rFonts w:ascii="Times New Roman" w:eastAsia="Times New Roman" w:hAnsi="Times New Roman" w:cs="Times New Roman"/>
          <w:sz w:val="24"/>
          <w:szCs w:val="24"/>
          <w:lang w:eastAsia="bg-BG"/>
        </w:rPr>
        <w:t xml:space="preserve"> бяха представени инициативи за повишаване на чувствителността сред обществото относно възможностите на възрастните хора и относно необходимостта от насърчаване на солидарност между поколенията. Участниците в панела се обединиха около извода, че знанията и уменията на възрастните хора, както и техния професионален опит, трябва да бъдат признати за ценен ресурс, който да бъде използван в политическата, икономическата и социалната сфера в полза на младите поколения и на обществото като цяло. Във всички изказвания беше поставен специален акцент върху нуждата от солидарност между поколенията като основа за изграждането на устойчиви общества за всички възрасти.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Въз основа на направените изказвания във втория експертен панел „</w:t>
      </w:r>
      <w:r w:rsidRPr="00D824DE">
        <w:rPr>
          <w:rFonts w:ascii="Times New Roman" w:eastAsia="Times New Roman" w:hAnsi="Times New Roman" w:cs="Times New Roman"/>
          <w:i/>
          <w:sz w:val="24"/>
          <w:szCs w:val="24"/>
          <w:lang w:eastAsia="bg-BG"/>
        </w:rPr>
        <w:t xml:space="preserve">Насърчаване на по-дългото оставане на работа и работоспособността“ </w:t>
      </w:r>
      <w:r w:rsidRPr="00D824DE">
        <w:rPr>
          <w:rFonts w:ascii="Times New Roman" w:eastAsia="Times New Roman" w:hAnsi="Times New Roman" w:cs="Times New Roman"/>
          <w:sz w:val="24"/>
          <w:szCs w:val="24"/>
          <w:lang w:eastAsia="bg-BG"/>
        </w:rPr>
        <w:t xml:space="preserve">стана ясно, че се увеличават инициативите сред страните, с които се насърчава по-всеобхватен пазар на труда, ориентиран към т.н. късна кариера: повече качествени работни места и по-малко дългосрочна безработица и бедност, особено сред жените. Съществуват някои добри практики сред работодателите по отношение на управлението на възрастта и гъвкавото работно време, но тяхното прилагане като цяло остава слабо, най-вече в малките и </w:t>
      </w:r>
      <w:r w:rsidRPr="00D824DE">
        <w:rPr>
          <w:rFonts w:ascii="Times New Roman" w:eastAsia="Times New Roman" w:hAnsi="Times New Roman" w:cs="Times New Roman"/>
          <w:sz w:val="24"/>
          <w:szCs w:val="24"/>
          <w:lang w:eastAsia="bg-BG"/>
        </w:rPr>
        <w:lastRenderedPageBreak/>
        <w:t>средни предприятия. Участниците бяха единодушни, че насърчаването на пригодността за заетост на работниците през целия им трудов живот, както и увеличаването на възможностите за заетост на по-възрастните хора, са сред най-важните цели на планираните политики.</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val="ru-RU" w:eastAsia="bg-BG"/>
        </w:rPr>
      </w:pPr>
      <w:r w:rsidRPr="00D824DE">
        <w:rPr>
          <w:rFonts w:ascii="Times New Roman" w:eastAsia="Times New Roman" w:hAnsi="Times New Roman" w:cs="Times New Roman"/>
          <w:sz w:val="24"/>
          <w:szCs w:val="24"/>
          <w:lang w:eastAsia="bg-BG"/>
        </w:rPr>
        <w:t>В третия експертен панел „</w:t>
      </w:r>
      <w:r w:rsidRPr="00D824DE">
        <w:rPr>
          <w:rFonts w:ascii="Times New Roman" w:eastAsia="Times New Roman" w:hAnsi="Times New Roman" w:cs="Times New Roman"/>
          <w:i/>
          <w:sz w:val="24"/>
          <w:szCs w:val="24"/>
          <w:lang w:eastAsia="bg-BG"/>
        </w:rPr>
        <w:t>Осигуряване на достойно остаряване“</w:t>
      </w:r>
      <w:r w:rsidRPr="00D824DE">
        <w:rPr>
          <w:rFonts w:ascii="Times New Roman" w:eastAsia="Times New Roman" w:hAnsi="Times New Roman" w:cs="Times New Roman"/>
          <w:sz w:val="24"/>
          <w:szCs w:val="24"/>
          <w:lang w:eastAsia="bg-BG"/>
        </w:rPr>
        <w:t xml:space="preserve"> беше направен преглед на ефективни концепции, политики и мерки, които имат за цел да осигурят активен и достоен живот на хората през целия им жизнен цикъл, и най-вече когато остаряват, както и да избегнат или намалят нуждата от подпомагане и грижа за възрастните. Най-често срещаните заключения бяха, че достъпните технологии подпомагат физическото, психическото и социалното благополучие за всички възрасти; че заинтересованите лица трябва да работят заедно за осигуряването на достойно остаряване, което включва социална, емоционална и икономическа сигурност.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 xml:space="preserve">На втория ден от конференцията министър Силва откри официално министерския сегмент, като призова министрите на страните-членки на ИКЕООН да преосмислят потенциала на възрастните хора и да използват </w:t>
      </w:r>
      <w:r w:rsidRPr="00D824DE">
        <w:rPr>
          <w:rFonts w:ascii="Times New Roman" w:eastAsia="Times New Roman" w:hAnsi="Times New Roman" w:cs="Times New Roman"/>
          <w:bCs/>
          <w:sz w:val="24"/>
          <w:szCs w:val="24"/>
          <w:lang w:eastAsia="bg-BG"/>
        </w:rPr>
        <w:t>Международния план за действие по застаряването от Мадрид,</w:t>
      </w:r>
      <w:r w:rsidRPr="00D824DE">
        <w:rPr>
          <w:rFonts w:ascii="Times New Roman" w:eastAsia="Times New Roman" w:hAnsi="Times New Roman" w:cs="Times New Roman"/>
          <w:sz w:val="24"/>
          <w:szCs w:val="24"/>
          <w:lang w:eastAsia="bg-BG"/>
        </w:rPr>
        <w:t xml:space="preserve"> за да подсилят политиките си в тази посока.</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 xml:space="preserve">Преди началото на панелите на високо ниво бяха представени основните елементи от проекта на министерска декларация </w:t>
      </w:r>
      <w:r w:rsidRPr="00D824DE">
        <w:rPr>
          <w:rFonts w:ascii="Times New Roman" w:eastAsia="Times New Roman" w:hAnsi="Times New Roman" w:cs="Times New Roman"/>
          <w:bCs/>
          <w:sz w:val="24"/>
          <w:szCs w:val="24"/>
          <w:lang w:eastAsia="bg-BG"/>
        </w:rPr>
        <w:t>„Устойчиво общество за всички възрасти: реализиране на потенциала от удължаването на живота“, т.е. основните цели на политиките, които страните-</w:t>
      </w:r>
      <w:r w:rsidRPr="00D824DE">
        <w:rPr>
          <w:rFonts w:ascii="Times New Roman" w:eastAsia="Times New Roman" w:hAnsi="Times New Roman" w:cs="Times New Roman"/>
          <w:sz w:val="24"/>
          <w:szCs w:val="24"/>
          <w:lang w:eastAsia="bg-BG"/>
        </w:rPr>
        <w:t>членки на ИКЕООН</w:t>
      </w:r>
      <w:r w:rsidRPr="00D824DE">
        <w:rPr>
          <w:rFonts w:ascii="Times New Roman" w:eastAsia="Times New Roman" w:hAnsi="Times New Roman" w:cs="Times New Roman"/>
          <w:bCs/>
          <w:sz w:val="24"/>
          <w:szCs w:val="24"/>
          <w:lang w:eastAsia="bg-BG"/>
        </w:rPr>
        <w:t xml:space="preserve"> се ангажират да постигнат до 2022 г</w:t>
      </w:r>
      <w:r w:rsidRPr="00BD5BB8">
        <w:rPr>
          <w:rFonts w:ascii="Times New Roman" w:eastAsia="Times New Roman" w:hAnsi="Times New Roman" w:cs="Times New Roman"/>
          <w:bCs/>
          <w:sz w:val="24"/>
          <w:szCs w:val="24"/>
          <w:lang w:eastAsia="bg-BG"/>
        </w:rPr>
        <w:t>одина</w:t>
      </w:r>
      <w:r w:rsidRPr="00D824DE">
        <w:rPr>
          <w:rFonts w:ascii="Times New Roman" w:eastAsia="Times New Roman" w:hAnsi="Times New Roman" w:cs="Times New Roman"/>
          <w:bCs/>
          <w:sz w:val="24"/>
          <w:szCs w:val="24"/>
          <w:lang w:eastAsia="bg-BG"/>
        </w:rPr>
        <w:t xml:space="preserve">: </w:t>
      </w:r>
      <w:r w:rsidRPr="00D824DE">
        <w:rPr>
          <w:rFonts w:ascii="Times New Roman" w:eastAsia="Times New Roman" w:hAnsi="Times New Roman" w:cs="Times New Roman"/>
          <w:i/>
          <w:sz w:val="24"/>
          <w:szCs w:val="24"/>
          <w:lang w:eastAsia="bg-BG"/>
        </w:rPr>
        <w:t xml:space="preserve">Признаване на потенциала на възрастните хора, Насърчаване на по-дългото оставане на работа и работоспособността </w:t>
      </w:r>
      <w:r w:rsidRPr="00D824DE">
        <w:rPr>
          <w:rFonts w:ascii="Times New Roman" w:eastAsia="Times New Roman" w:hAnsi="Times New Roman" w:cs="Times New Roman"/>
          <w:sz w:val="24"/>
          <w:szCs w:val="24"/>
          <w:lang w:eastAsia="bg-BG"/>
        </w:rPr>
        <w:t xml:space="preserve">и </w:t>
      </w:r>
      <w:r w:rsidRPr="00D824DE">
        <w:rPr>
          <w:rFonts w:ascii="Times New Roman" w:eastAsia="Times New Roman" w:hAnsi="Times New Roman" w:cs="Times New Roman"/>
          <w:i/>
          <w:sz w:val="24"/>
          <w:szCs w:val="24"/>
          <w:lang w:eastAsia="bg-BG"/>
        </w:rPr>
        <w:t xml:space="preserve">Осигуряване на достойно остаряване. </w:t>
      </w:r>
      <w:r w:rsidRPr="00D824DE">
        <w:rPr>
          <w:rFonts w:ascii="Times New Roman" w:eastAsia="Times New Roman" w:hAnsi="Times New Roman" w:cs="Times New Roman"/>
          <w:sz w:val="24"/>
          <w:szCs w:val="24"/>
          <w:lang w:eastAsia="bg-BG"/>
        </w:rPr>
        <w:t xml:space="preserve">В заключителната част на документа е изказано признание за дейността на Работната група по застаряване към ИКЕООН, в качеството й на междуправителствен орган, който осигурява институционална рамка за обмен на информация и добри практики.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На последвалата панелна дискусия с министри и представители на гражданското общество на тема „</w:t>
      </w:r>
      <w:r w:rsidRPr="00D824DE">
        <w:rPr>
          <w:rFonts w:ascii="Times New Roman" w:eastAsia="Times New Roman" w:hAnsi="Times New Roman" w:cs="Times New Roman"/>
          <w:i/>
          <w:sz w:val="24"/>
          <w:szCs w:val="24"/>
          <w:lang w:eastAsia="bg-BG"/>
        </w:rPr>
        <w:t>Признаване на потенциала на възрастните хора: междупоколенческа перспектива</w:t>
      </w:r>
      <w:r w:rsidRPr="00D824DE">
        <w:rPr>
          <w:rFonts w:ascii="Times New Roman" w:eastAsia="Times New Roman" w:hAnsi="Times New Roman" w:cs="Times New Roman"/>
          <w:sz w:val="24"/>
          <w:szCs w:val="24"/>
          <w:lang w:eastAsia="bg-BG"/>
        </w:rPr>
        <w:t xml:space="preserve">“ бяха очертани основните ключови области за стимулиране: заетост, пенсионни реформи, учене през целия живот,  здравеопазване и грижа, както и баланс между професионалния и семеен живот. Всички участници в дискусията отбелязаха, че отделянето на средства за политиките по застаряване представлява инвестиция и че за тези политики трябва да се мисли като за междупоколенческо партньорство. Като основно предизвикателство бе изведено елиминирането на всички дискриминативни практики по отношение на възрастните хора.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Първата министерска кръгла маса, озаглавена „</w:t>
      </w:r>
      <w:r w:rsidRPr="00D824DE">
        <w:rPr>
          <w:rFonts w:ascii="Times New Roman" w:eastAsia="Times New Roman" w:hAnsi="Times New Roman" w:cs="Times New Roman"/>
          <w:i/>
          <w:sz w:val="24"/>
          <w:szCs w:val="24"/>
          <w:lang w:eastAsia="bg-BG"/>
        </w:rPr>
        <w:t>Насърчаване на по-дългото оставане на работа и работоспособността</w:t>
      </w:r>
      <w:r w:rsidRPr="00D824DE">
        <w:rPr>
          <w:rFonts w:ascii="Times New Roman" w:eastAsia="Times New Roman" w:hAnsi="Times New Roman" w:cs="Times New Roman"/>
          <w:sz w:val="24"/>
          <w:szCs w:val="24"/>
          <w:lang w:eastAsia="bg-BG"/>
        </w:rPr>
        <w:t xml:space="preserve">“, беше открита от г-жа Мариане Тейсен, комисар по заетостта, социалните въпроси, уменията и трудовата мобилност на Европейската комисия. Г-жа Тейсен изтъкна, че задържането на работа на възрастните хора е изключително важно, тъй като възрастните и младите работници не могат да се  заменят взаимно – възрастните работници трябва да предадат своя опит и умения на младите. Тя допълни, че Ръководните принципи на Европейския съюз за насърчаване на активното стареене са отразени адекватно в проекта на министерска декларация.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 xml:space="preserve">В дискусионната част на кръглата маса имаше заявени 11 изказвания, сред които и от страна на България. Ръководителят на делегацията запозна накратко присъстващите със стратегическата рамка и предприетия подход на българското правителство за насърчаване на активния живот на възрастните хора, а именно Актуализираната Национална стратегия за демографско развитие на населението на </w:t>
      </w:r>
      <w:r w:rsidRPr="00D824DE">
        <w:rPr>
          <w:rFonts w:ascii="Times New Roman" w:eastAsia="Times New Roman" w:hAnsi="Times New Roman" w:cs="Times New Roman"/>
          <w:sz w:val="24"/>
          <w:szCs w:val="24"/>
          <w:lang w:eastAsia="bg-BG"/>
        </w:rPr>
        <w:lastRenderedPageBreak/>
        <w:t xml:space="preserve">Република България (2012 – 2030 г.) и Националната концепция за насърчаване на активния живот на възрастните хора в България (2012 – 2030 г.). Бяха представени и конкретни мерки за насърчаване и удължаване на активния трудов живот на възрастните хора. В заключение бе акцентирано, че България и занапред ще продължи да участва активно в цикъла на преглед и оценка на Международния план за действие по застаряването, приет в Мадрид през 2002 г. и на Регионалната стратегия за Европа за неговото изпълнение.   </w:t>
      </w:r>
    </w:p>
    <w:p w:rsidR="00D824DE" w:rsidRPr="00D824DE" w:rsidRDefault="00D824DE" w:rsidP="00D824DE">
      <w:pPr>
        <w:spacing w:after="0" w:line="240" w:lineRule="auto"/>
        <w:ind w:firstLine="708"/>
        <w:jc w:val="both"/>
        <w:rPr>
          <w:rFonts w:ascii="Times New Roman" w:eastAsia="Times New Roman" w:hAnsi="Times New Roman" w:cs="Times New Roman"/>
          <w:sz w:val="24"/>
          <w:szCs w:val="24"/>
          <w:lang w:eastAsia="bg-BG"/>
        </w:rPr>
      </w:pPr>
      <w:r w:rsidRPr="00D824DE">
        <w:rPr>
          <w:rFonts w:ascii="Times New Roman" w:eastAsia="Times New Roman" w:hAnsi="Times New Roman" w:cs="Times New Roman"/>
          <w:sz w:val="24"/>
          <w:szCs w:val="24"/>
          <w:lang w:eastAsia="bg-BG"/>
        </w:rPr>
        <w:t>Втората министерска кръгла маса беше на тема „</w:t>
      </w:r>
      <w:r w:rsidRPr="00D824DE">
        <w:rPr>
          <w:rFonts w:ascii="Times New Roman" w:eastAsia="Times New Roman" w:hAnsi="Times New Roman" w:cs="Times New Roman"/>
          <w:i/>
          <w:sz w:val="24"/>
          <w:szCs w:val="24"/>
          <w:lang w:eastAsia="bg-BG"/>
        </w:rPr>
        <w:t>Осигуряване на достойно остаряване“</w:t>
      </w:r>
      <w:r w:rsidRPr="00D824DE">
        <w:rPr>
          <w:rFonts w:ascii="Times New Roman" w:eastAsia="Times New Roman" w:hAnsi="Times New Roman" w:cs="Times New Roman"/>
          <w:sz w:val="24"/>
          <w:szCs w:val="24"/>
          <w:lang w:eastAsia="bg-BG"/>
        </w:rPr>
        <w:t xml:space="preserve">. Министрите бяха единодушни в изказванията си, че трябва да се насърчи развитието на среда, която позволява на възрастните хора да живеят добре и да се възползват от правата си. Държавите следва да осигурят и закрила на уязвимите групи, както и достъп до подпомагане и услуги на възрастните хора в нужда.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eastAsia="bg-BG"/>
        </w:rPr>
      </w:pPr>
      <w:r w:rsidRPr="00D824DE">
        <w:rPr>
          <w:rFonts w:ascii="Times New Roman" w:eastAsia="Times New Roman" w:hAnsi="Times New Roman" w:cs="Times New Roman"/>
          <w:sz w:val="24"/>
          <w:szCs w:val="24"/>
          <w:lang w:eastAsia="bg-BG"/>
        </w:rPr>
        <w:t xml:space="preserve">В заключителната сесия на конференцията беше приета министерската декларация, съдържаща приоритетите за по-нататъшното изпълнение на </w:t>
      </w:r>
      <w:r w:rsidRPr="00D824DE">
        <w:rPr>
          <w:rFonts w:ascii="Times New Roman" w:eastAsia="Times New Roman" w:hAnsi="Times New Roman" w:cs="Times New Roman"/>
          <w:bCs/>
          <w:sz w:val="24"/>
          <w:szCs w:val="24"/>
          <w:lang w:eastAsia="bg-BG"/>
        </w:rPr>
        <w:t xml:space="preserve">Международния план за действие по застаряването от Мадрид и на Регионалната стратегия за Европа към него, с хоризонт до 2022 г. </w:t>
      </w:r>
    </w:p>
    <w:p w:rsidR="00D824DE" w:rsidRPr="00D824DE" w:rsidRDefault="00D824DE" w:rsidP="00D824DE">
      <w:pPr>
        <w:spacing w:after="0" w:line="240" w:lineRule="auto"/>
        <w:ind w:firstLine="708"/>
        <w:jc w:val="both"/>
        <w:rPr>
          <w:rFonts w:ascii="Times New Roman" w:eastAsia="Times New Roman" w:hAnsi="Times New Roman" w:cs="Times New Roman"/>
          <w:bCs/>
          <w:sz w:val="24"/>
          <w:szCs w:val="24"/>
          <w:lang w:eastAsia="bg-BG"/>
        </w:rPr>
      </w:pPr>
      <w:r w:rsidRPr="00D824DE">
        <w:rPr>
          <w:rFonts w:ascii="Times New Roman" w:eastAsia="Times New Roman" w:hAnsi="Times New Roman" w:cs="Times New Roman"/>
          <w:bCs/>
          <w:sz w:val="24"/>
          <w:szCs w:val="24"/>
          <w:lang w:eastAsia="bg-BG"/>
        </w:rPr>
        <w:t xml:space="preserve">Г-жа Олга Алгайерова, изпълнителен секретар на ИКЕООН, поздрави присъстващите с приемането на декларацията и изтъкна, че консенсусът, демонстриран с нейното приемане, представлява стабилна основа за признаването и по-доброто оползотворяване на потенциала, който предлага по-дългия живот за хората и за обществата. </w:t>
      </w:r>
    </w:p>
    <w:p w:rsidR="00AE7304" w:rsidRPr="00BD5BB8" w:rsidRDefault="00AE7304" w:rsidP="00AE7304">
      <w:pPr>
        <w:spacing w:after="0" w:line="240" w:lineRule="auto"/>
        <w:jc w:val="both"/>
        <w:rPr>
          <w:rFonts w:ascii="Times New Roman" w:hAnsi="Times New Roman" w:cs="Times New Roman"/>
          <w:sz w:val="28"/>
          <w:szCs w:val="28"/>
        </w:rPr>
      </w:pPr>
    </w:p>
    <w:p w:rsidR="00AE7304" w:rsidRPr="00BD5BB8" w:rsidRDefault="00AE7304" w:rsidP="00AE7304">
      <w:pPr>
        <w:spacing w:after="0" w:line="240" w:lineRule="auto"/>
        <w:jc w:val="both"/>
        <w:rPr>
          <w:rFonts w:ascii="Times New Roman" w:hAnsi="Times New Roman" w:cs="Times New Roman"/>
          <w:b/>
          <w:sz w:val="28"/>
          <w:szCs w:val="28"/>
        </w:rPr>
      </w:pPr>
      <w:r w:rsidRPr="00BD5BB8">
        <w:rPr>
          <w:rFonts w:ascii="Times New Roman" w:hAnsi="Times New Roman" w:cs="Times New Roman"/>
          <w:b/>
          <w:sz w:val="28"/>
          <w:szCs w:val="28"/>
        </w:rPr>
        <w:t xml:space="preserve"> </w:t>
      </w:r>
    </w:p>
    <w:p w:rsidR="00AE7304" w:rsidRPr="00BD5BB8" w:rsidRDefault="00AE7304" w:rsidP="00AE7304">
      <w:pPr>
        <w:spacing w:after="0" w:line="240" w:lineRule="auto"/>
        <w:jc w:val="both"/>
        <w:rPr>
          <w:rFonts w:ascii="Times New Roman" w:hAnsi="Times New Roman" w:cs="Times New Roman"/>
          <w:b/>
          <w:sz w:val="28"/>
          <w:szCs w:val="28"/>
        </w:rPr>
      </w:pPr>
    </w:p>
    <w:p w:rsidR="00AE7304" w:rsidRPr="00BD5BB8" w:rsidRDefault="00AE7304" w:rsidP="00AE7304">
      <w:pPr>
        <w:spacing w:after="0" w:line="240" w:lineRule="auto"/>
        <w:jc w:val="both"/>
        <w:rPr>
          <w:rFonts w:ascii="Times New Roman" w:hAnsi="Times New Roman" w:cs="Times New Roman"/>
          <w:b/>
          <w:sz w:val="28"/>
          <w:szCs w:val="28"/>
        </w:rPr>
      </w:pPr>
    </w:p>
    <w:p w:rsidR="00AE7304" w:rsidRPr="00BD5BB8" w:rsidRDefault="00AE7304" w:rsidP="00AE7304">
      <w:pPr>
        <w:spacing w:after="0" w:line="240" w:lineRule="auto"/>
        <w:jc w:val="both"/>
        <w:rPr>
          <w:rFonts w:ascii="Times New Roman" w:hAnsi="Times New Roman" w:cs="Times New Roman"/>
          <w:b/>
          <w:sz w:val="28"/>
          <w:szCs w:val="28"/>
        </w:rPr>
      </w:pPr>
    </w:p>
    <w:p w:rsidR="00AE7304" w:rsidRPr="00BD5BB8" w:rsidRDefault="00AE7304" w:rsidP="00AE7304">
      <w:pPr>
        <w:spacing w:after="0" w:line="240" w:lineRule="auto"/>
        <w:jc w:val="both"/>
        <w:rPr>
          <w:rFonts w:ascii="Times New Roman" w:hAnsi="Times New Roman" w:cs="Times New Roman"/>
          <w:b/>
          <w:sz w:val="28"/>
          <w:szCs w:val="28"/>
        </w:rPr>
      </w:pPr>
    </w:p>
    <w:p w:rsidR="005F2097" w:rsidRPr="00BD5BB8" w:rsidRDefault="005F2097" w:rsidP="005F2097">
      <w:pPr>
        <w:spacing w:after="0" w:line="240" w:lineRule="auto"/>
        <w:jc w:val="both"/>
        <w:rPr>
          <w:rFonts w:ascii="Times New Roman" w:hAnsi="Times New Roman" w:cs="Times New Roman"/>
          <w:b/>
          <w:sz w:val="28"/>
          <w:szCs w:val="28"/>
        </w:rPr>
      </w:pPr>
    </w:p>
    <w:p w:rsidR="00572189" w:rsidRPr="00BD5BB8" w:rsidRDefault="00572189" w:rsidP="005F2097">
      <w:pPr>
        <w:spacing w:after="0" w:line="240" w:lineRule="auto"/>
        <w:jc w:val="both"/>
        <w:rPr>
          <w:rFonts w:cs="Times New Roman"/>
          <w:b/>
          <w:caps/>
          <w:sz w:val="28"/>
          <w:szCs w:val="28"/>
        </w:rPr>
      </w:pPr>
    </w:p>
    <w:p w:rsidR="00572189" w:rsidRPr="00BD5BB8" w:rsidRDefault="00572189" w:rsidP="005F2097">
      <w:pPr>
        <w:spacing w:after="0" w:line="240" w:lineRule="auto"/>
        <w:jc w:val="both"/>
        <w:rPr>
          <w:rFonts w:cs="Times New Roman"/>
          <w:b/>
          <w:caps/>
          <w:sz w:val="28"/>
          <w:szCs w:val="28"/>
        </w:rPr>
      </w:pPr>
    </w:p>
    <w:p w:rsidR="00D824DE" w:rsidRPr="00BD5BB8" w:rsidRDefault="00D824DE" w:rsidP="005F2097">
      <w:pPr>
        <w:spacing w:after="0" w:line="240" w:lineRule="auto"/>
        <w:jc w:val="both"/>
        <w:rPr>
          <w:rFonts w:cs="Times New Roman"/>
          <w:b/>
          <w:caps/>
          <w:sz w:val="28"/>
          <w:szCs w:val="28"/>
        </w:rPr>
      </w:pPr>
    </w:p>
    <w:p w:rsidR="00572189" w:rsidRPr="00BD5BB8" w:rsidRDefault="00572189" w:rsidP="005F2097">
      <w:pPr>
        <w:spacing w:after="0" w:line="240" w:lineRule="auto"/>
        <w:jc w:val="both"/>
        <w:rPr>
          <w:rFonts w:cs="Times New Roman"/>
          <w:b/>
          <w:caps/>
          <w:sz w:val="28"/>
          <w:szCs w:val="28"/>
        </w:rPr>
      </w:pPr>
    </w:p>
    <w:p w:rsidR="00572189" w:rsidRPr="00BD5BB8" w:rsidRDefault="00572189" w:rsidP="005F2097">
      <w:pPr>
        <w:spacing w:after="0" w:line="240" w:lineRule="auto"/>
        <w:jc w:val="both"/>
        <w:rPr>
          <w:rFonts w:cs="Times New Roman"/>
          <w:b/>
          <w:caps/>
          <w:sz w:val="28"/>
          <w:szCs w:val="28"/>
        </w:rPr>
      </w:pPr>
    </w:p>
    <w:p w:rsidR="00572189" w:rsidRPr="00BD5BB8" w:rsidRDefault="00572189" w:rsidP="005F2097">
      <w:pPr>
        <w:spacing w:after="0" w:line="240" w:lineRule="auto"/>
        <w:jc w:val="both"/>
        <w:rPr>
          <w:rFonts w:cs="Times New Roman"/>
          <w:b/>
          <w:caps/>
          <w:sz w:val="28"/>
          <w:szCs w:val="28"/>
        </w:rPr>
      </w:pPr>
    </w:p>
    <w:p w:rsidR="00572189" w:rsidRPr="00BD5BB8" w:rsidRDefault="00572189"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2B6EEC" w:rsidRPr="00BD5BB8" w:rsidRDefault="002B6EEC" w:rsidP="005F2097">
      <w:pPr>
        <w:spacing w:after="0" w:line="240" w:lineRule="auto"/>
        <w:jc w:val="both"/>
        <w:rPr>
          <w:rFonts w:cs="Times New Roman"/>
          <w:b/>
          <w:caps/>
          <w:sz w:val="28"/>
          <w:szCs w:val="28"/>
        </w:rPr>
      </w:pPr>
    </w:p>
    <w:p w:rsidR="005F2097" w:rsidRPr="00BD5BB8" w:rsidRDefault="005F2097" w:rsidP="005F2097">
      <w:pPr>
        <w:spacing w:after="0" w:line="240" w:lineRule="auto"/>
        <w:jc w:val="both"/>
        <w:rPr>
          <w:rFonts w:ascii="Times New Roman Bold" w:hAnsi="Times New Roman Bold" w:cs="Times New Roman"/>
          <w:b/>
          <w:caps/>
          <w:sz w:val="28"/>
          <w:szCs w:val="28"/>
        </w:rPr>
      </w:pPr>
      <w:r w:rsidRPr="00BD5BB8">
        <w:rPr>
          <w:rFonts w:ascii="Times New Roman Bold" w:hAnsi="Times New Roman Bold" w:cs="Times New Roman"/>
          <w:b/>
          <w:caps/>
          <w:sz w:val="28"/>
          <w:szCs w:val="28"/>
        </w:rPr>
        <w:lastRenderedPageBreak/>
        <w:t>Част 3</w:t>
      </w:r>
    </w:p>
    <w:p w:rsidR="005F2097" w:rsidRPr="00BD5BB8" w:rsidRDefault="005F2097" w:rsidP="005F2097">
      <w:pPr>
        <w:spacing w:after="0" w:line="240" w:lineRule="auto"/>
        <w:jc w:val="both"/>
        <w:rPr>
          <w:rFonts w:ascii="Times New Roman Bold" w:hAnsi="Times New Roman Bold" w:cs="Times New Roman"/>
          <w:b/>
          <w:caps/>
          <w:sz w:val="28"/>
          <w:szCs w:val="28"/>
        </w:rPr>
      </w:pPr>
      <w:r w:rsidRPr="00BD5BB8">
        <w:rPr>
          <w:rFonts w:ascii="Times New Roman Bold" w:hAnsi="Times New Roman Bold" w:cs="Times New Roman"/>
          <w:b/>
          <w:caps/>
          <w:sz w:val="28"/>
          <w:szCs w:val="28"/>
        </w:rPr>
        <w:t>Отразяване на Националната концепция за насърчаване на активния живот на възрастните хора в България (2012</w:t>
      </w:r>
      <w:r w:rsidR="00572189" w:rsidRPr="00BD5BB8">
        <w:rPr>
          <w:rFonts w:cs="Times New Roman"/>
          <w:b/>
          <w:caps/>
          <w:sz w:val="28"/>
          <w:szCs w:val="28"/>
        </w:rPr>
        <w:t xml:space="preserve"> </w:t>
      </w:r>
      <w:r w:rsidR="00572189" w:rsidRPr="00BD5BB8">
        <w:rPr>
          <w:rFonts w:ascii="Times New Roman Bold" w:hAnsi="Times New Roman Bold" w:cs="Times New Roman"/>
          <w:b/>
          <w:caps/>
          <w:sz w:val="28"/>
          <w:szCs w:val="28"/>
        </w:rPr>
        <w:t xml:space="preserve">– </w:t>
      </w:r>
      <w:r w:rsidRPr="00BD5BB8">
        <w:rPr>
          <w:rFonts w:ascii="Times New Roman Bold" w:hAnsi="Times New Roman Bold" w:cs="Times New Roman"/>
          <w:b/>
          <w:caps/>
          <w:sz w:val="28"/>
          <w:szCs w:val="28"/>
        </w:rPr>
        <w:t xml:space="preserve">2030 </w:t>
      </w:r>
      <w:r w:rsidRPr="00BD5BB8">
        <w:rPr>
          <w:rFonts w:ascii="Times New Roman Bold" w:hAnsi="Times New Roman Bold" w:cs="Times New Roman"/>
          <w:b/>
          <w:sz w:val="28"/>
          <w:szCs w:val="28"/>
        </w:rPr>
        <w:t>г</w:t>
      </w:r>
      <w:r w:rsidRPr="00BD5BB8">
        <w:rPr>
          <w:rFonts w:ascii="Times New Roman Bold" w:hAnsi="Times New Roman Bold" w:cs="Times New Roman"/>
          <w:b/>
          <w:caps/>
          <w:sz w:val="28"/>
          <w:szCs w:val="28"/>
        </w:rPr>
        <w:t xml:space="preserve">.) в секторните политики ЗА ПЕРИОДА </w:t>
      </w:r>
      <w:r w:rsidRPr="00C362DE">
        <w:rPr>
          <w:rFonts w:ascii="Times New Roman" w:hAnsi="Times New Roman" w:cs="Times New Roman"/>
          <w:b/>
          <w:caps/>
          <w:sz w:val="28"/>
          <w:szCs w:val="28"/>
        </w:rPr>
        <w:t>201</w:t>
      </w:r>
      <w:r w:rsidR="00922D33" w:rsidRPr="00C362DE">
        <w:rPr>
          <w:rFonts w:ascii="Times New Roman" w:hAnsi="Times New Roman" w:cs="Times New Roman"/>
          <w:b/>
          <w:caps/>
          <w:sz w:val="28"/>
          <w:szCs w:val="28"/>
        </w:rPr>
        <w:t>7</w:t>
      </w:r>
      <w:r w:rsidRPr="00C362DE">
        <w:rPr>
          <w:rFonts w:ascii="Times New Roman" w:hAnsi="Times New Roman" w:cs="Times New Roman"/>
          <w:b/>
          <w:caps/>
          <w:sz w:val="28"/>
          <w:szCs w:val="28"/>
        </w:rPr>
        <w:t xml:space="preserve"> </w:t>
      </w:r>
      <w:r w:rsidR="00572189" w:rsidRPr="00C362DE">
        <w:rPr>
          <w:rFonts w:ascii="Times New Roman" w:hAnsi="Times New Roman" w:cs="Times New Roman"/>
          <w:b/>
          <w:caps/>
          <w:sz w:val="28"/>
          <w:szCs w:val="28"/>
        </w:rPr>
        <w:t xml:space="preserve">– </w:t>
      </w:r>
      <w:r w:rsidR="00922D33" w:rsidRPr="00C362DE">
        <w:rPr>
          <w:rFonts w:ascii="Times New Roman" w:hAnsi="Times New Roman" w:cs="Times New Roman"/>
          <w:b/>
          <w:caps/>
          <w:sz w:val="28"/>
          <w:szCs w:val="28"/>
        </w:rPr>
        <w:t>2018</w:t>
      </w:r>
      <w:r w:rsidRPr="00C362DE">
        <w:rPr>
          <w:rFonts w:ascii="Times New Roman" w:hAnsi="Times New Roman" w:cs="Times New Roman"/>
          <w:b/>
          <w:caps/>
          <w:sz w:val="28"/>
          <w:szCs w:val="28"/>
        </w:rPr>
        <w:t xml:space="preserve"> </w:t>
      </w:r>
      <w:r w:rsidRPr="00C362DE">
        <w:rPr>
          <w:rFonts w:ascii="Times New Roman" w:hAnsi="Times New Roman" w:cs="Times New Roman"/>
          <w:b/>
          <w:sz w:val="28"/>
          <w:szCs w:val="28"/>
        </w:rPr>
        <w:t>г</w:t>
      </w:r>
      <w:r w:rsidRPr="00C362DE">
        <w:rPr>
          <w:rFonts w:ascii="Times New Roman" w:hAnsi="Times New Roman" w:cs="Times New Roman"/>
          <w:b/>
          <w:caps/>
          <w:sz w:val="28"/>
          <w:szCs w:val="28"/>
        </w:rPr>
        <w:t>.</w:t>
      </w:r>
    </w:p>
    <w:p w:rsidR="005F2097" w:rsidRPr="00BD5BB8" w:rsidRDefault="005F2097" w:rsidP="005F2097">
      <w:pPr>
        <w:spacing w:after="0" w:line="240" w:lineRule="auto"/>
        <w:jc w:val="both"/>
        <w:rPr>
          <w:rFonts w:ascii="Times New Roman" w:hAnsi="Times New Roman" w:cs="Times New Roman"/>
          <w:b/>
          <w:sz w:val="24"/>
          <w:szCs w:val="24"/>
        </w:rPr>
      </w:pPr>
    </w:p>
    <w:p w:rsidR="005F2097" w:rsidRPr="00BD5BB8" w:rsidRDefault="005F2097" w:rsidP="005F2097">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
          <w:sz w:val="24"/>
          <w:szCs w:val="24"/>
        </w:rPr>
        <w:t>С Протоколно Решение на Министерския съвет от 20 юни 2012 г. беше приета Национална концепция за насърчаване на активния живот на възрастните хора в България (2012</w:t>
      </w:r>
      <w:r w:rsidR="00572189" w:rsidRPr="00BD5BB8">
        <w:rPr>
          <w:rFonts w:ascii="Times New Roman" w:hAnsi="Times New Roman" w:cs="Times New Roman"/>
          <w:b/>
          <w:sz w:val="24"/>
          <w:szCs w:val="24"/>
        </w:rPr>
        <w:t xml:space="preserve"> – </w:t>
      </w:r>
      <w:r w:rsidRPr="00BD5BB8">
        <w:rPr>
          <w:rFonts w:ascii="Times New Roman" w:hAnsi="Times New Roman" w:cs="Times New Roman"/>
          <w:b/>
          <w:sz w:val="24"/>
          <w:szCs w:val="24"/>
        </w:rPr>
        <w:t>2030 г.)</w:t>
      </w:r>
      <w:r w:rsidRPr="00BD5BB8">
        <w:rPr>
          <w:rFonts w:ascii="Times New Roman" w:hAnsi="Times New Roman" w:cs="Times New Roman"/>
          <w:sz w:val="20"/>
          <w:szCs w:val="20"/>
          <w:vertAlign w:val="superscript"/>
        </w:rPr>
        <w:footnoteReference w:id="22"/>
      </w:r>
      <w:r w:rsidRPr="00BD5BB8">
        <w:rPr>
          <w:rFonts w:ascii="Times New Roman" w:hAnsi="Times New Roman" w:cs="Times New Roman"/>
          <w:b/>
          <w:sz w:val="24"/>
          <w:szCs w:val="24"/>
        </w:rPr>
        <w:t xml:space="preserve">. </w:t>
      </w:r>
      <w:r w:rsidRPr="00BD5BB8">
        <w:rPr>
          <w:rFonts w:ascii="Times New Roman" w:hAnsi="Times New Roman" w:cs="Times New Roman"/>
          <w:sz w:val="24"/>
          <w:szCs w:val="24"/>
        </w:rPr>
        <w:t>Националната концепция за активен живот на възрастните хора е развитие и продължение на едно от важните направления на Актуализираната Национална стратегия за демографско развитие на населението в Република България с хоризонт до 2030 г. – преодоляване на последиците от застаряване на населението. Документът предлага конкретна перспектива за посрещане на последствията от демографското застаряване на населението в контекста на интегриран подход за отразяване на конкретните специфики на застаряването.</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Стратегическата цел</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на Националната концепция за активен живот на възрастните хора е: създаване на условия за техния активен и достоен живот чрез осигуряване на равни възможности за пълноценното им участие в икономическия и социален живот на обществото.</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Осигуряването на реален принос от страна на възрастните хора в социалния и икономически живот и на пълна реализация на техните човешки права и свободи е свързано с постигане на общество за всички възрасти.</w:t>
      </w:r>
    </w:p>
    <w:p w:rsidR="005F2097" w:rsidRPr="00BD5BB8" w:rsidRDefault="005F2097" w:rsidP="005F2097">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В съвременните условия особено важно значение придобива не толкова и не само броят на населението, колкото развитието на качеството на човешкия капитал – образование, здравословно състояние, социална и трудова мобилност, способности и умения, качество на живота.</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Националната концепция определя основните области за идентифициране на практически действия за насърчаване на активния живот на възрастните хора. Те са групирани в следните оперативни цели:</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 xml:space="preserve">Оперативна цел 1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Осигуряване на условия за активен трудов живот на възрастните хора;</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 xml:space="preserve">Оперативна цел 2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Осигуряване на финансова стабилност на пенсионната система, условия за активен и достоен живот в пенсионна възраст и за ограничаване на бедността сред пенсионерите;</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 xml:space="preserve">Оперативна цел 3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Осигуряване на условия за достъп до здравни услуги и удължаване на живота в добро здраве на възрастните хора;</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r>
      <w:r w:rsidRPr="00BD5BB8">
        <w:rPr>
          <w:rFonts w:ascii="Times New Roman" w:hAnsi="Times New Roman" w:cs="Times New Roman"/>
          <w:b/>
          <w:sz w:val="24"/>
          <w:szCs w:val="24"/>
        </w:rPr>
        <w:t xml:space="preserve">Оперативна цел 4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Осигуряване на условия за достъп до образование, за учене през целия живот, за повишаване на квалификацията и за преквалификация на възрастните хора с оглед на подобряване на мобилността на пазара на труда;</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b/>
          <w:sz w:val="24"/>
          <w:szCs w:val="24"/>
        </w:rPr>
        <w:tab/>
        <w:t xml:space="preserve">Оперативна цел 5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Развитие и модернизиране на дългосрочните грижи и осигуряване на условия за достъп до социални услуги. Развитие на т.нар. „сребърна икономика”;</w:t>
      </w:r>
    </w:p>
    <w:p w:rsidR="005F2097" w:rsidRPr="00BD5BB8" w:rsidRDefault="005F2097" w:rsidP="005F2097">
      <w:pPr>
        <w:spacing w:after="0" w:line="240" w:lineRule="auto"/>
        <w:jc w:val="both"/>
        <w:rPr>
          <w:rFonts w:ascii="Times New Roman" w:hAnsi="Times New Roman" w:cs="Times New Roman"/>
          <w:b/>
          <w:sz w:val="24"/>
          <w:szCs w:val="24"/>
        </w:rPr>
      </w:pPr>
      <w:r w:rsidRPr="00BD5BB8">
        <w:rPr>
          <w:rFonts w:ascii="Times New Roman" w:hAnsi="Times New Roman" w:cs="Times New Roman"/>
          <w:b/>
          <w:sz w:val="24"/>
          <w:szCs w:val="24"/>
        </w:rPr>
        <w:tab/>
        <w:t xml:space="preserve">Оперативна цел 6 </w:t>
      </w:r>
      <w:r w:rsidR="00572189" w:rsidRPr="00BD5BB8">
        <w:rPr>
          <w:rFonts w:ascii="Times New Roman" w:hAnsi="Times New Roman" w:cs="Times New Roman"/>
          <w:b/>
          <w:sz w:val="24"/>
          <w:szCs w:val="24"/>
        </w:rPr>
        <w:t xml:space="preserve">– </w:t>
      </w:r>
      <w:r w:rsidRPr="00BD5BB8">
        <w:rPr>
          <w:rFonts w:ascii="Times New Roman" w:hAnsi="Times New Roman" w:cs="Times New Roman"/>
          <w:b/>
          <w:sz w:val="24"/>
          <w:szCs w:val="24"/>
        </w:rPr>
        <w:t>Развитие на доброволчеството.</w:t>
      </w:r>
    </w:p>
    <w:p w:rsidR="0094076E" w:rsidRPr="00BD5BB8" w:rsidRDefault="005F2097" w:rsidP="005F2097">
      <w:pPr>
        <w:spacing w:after="0" w:line="240" w:lineRule="auto"/>
        <w:contextualSpacing/>
        <w:jc w:val="both"/>
        <w:rPr>
          <w:rFonts w:ascii="Times New Roman" w:eastAsia="Times New Roman" w:hAnsi="Times New Roman" w:cs="Times New Roman"/>
          <w:sz w:val="24"/>
          <w:szCs w:val="24"/>
          <w:lang w:val="ru-RU" w:eastAsia="bg-BG"/>
        </w:rPr>
      </w:pPr>
      <w:r w:rsidRPr="00BD5BB8">
        <w:rPr>
          <w:rFonts w:ascii="Times New Roman" w:eastAsia="Times New Roman" w:hAnsi="Times New Roman" w:cs="Times New Roman"/>
          <w:sz w:val="24"/>
          <w:szCs w:val="24"/>
          <w:lang w:eastAsia="bg-BG"/>
        </w:rPr>
        <w:lastRenderedPageBreak/>
        <w:tab/>
      </w:r>
    </w:p>
    <w:p w:rsidR="005F2097" w:rsidRPr="00BD5BB8" w:rsidRDefault="005F2097" w:rsidP="0094076E">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Националната концепция представя балансиран подход към проблемите на застаряването, като се идентифицират потребности от насърчаване на активността на възрастните и осигуряване на условия за реализирането им на пазара на труда, адекватно посрещане на потребностите на възрастните хора в социален аспект, насърчаване на свободната доброволческа активност, гарантиране на правото на социална и здравна закрила, и предотвратяване на дискриминация. Наред с предоставяне на подходящи условия в сферата на заетостта, действията следва да бъдат ориентирани към здравеопазването с акцент върху превантивните грижи, както и налагане на положителен образ на възрастните хора. По-дългото задържане на пазара на труда и икономически активното поведение на възрастните хора трябва да бъде съпътствано с приспособяването на обучително-квалификационната система към потребностите и изискванията на възрастните хора, предоставяне на стимули за по-дълго задържане на пазара на труда, преодоляване на възрастовата дискриминация и отчитане на значението на опита на възрастните. Едновременно с това е необходимо да се предприемат действия за гарантиране на достойно остаряване в добро здраве, развиване на мерки за превенция на заболявания и увреждания, и за насърчаване на здравословен начин на живот, развиване на услуги за възрастните, както и ново интерпретиране на позитивната социална роля на възрастните хора като пълноправни активни граждани в обществото. </w:t>
      </w:r>
    </w:p>
    <w:p w:rsidR="0009677D" w:rsidRPr="00BD5BB8" w:rsidRDefault="005F2097" w:rsidP="005F2097">
      <w:pPr>
        <w:spacing w:after="0" w:line="240" w:lineRule="auto"/>
        <w:ind w:firstLine="720"/>
        <w:jc w:val="both"/>
        <w:rPr>
          <w:rFonts w:ascii="Times New Roman" w:hAnsi="Times New Roman" w:cs="Times New Roman"/>
          <w:sz w:val="24"/>
          <w:szCs w:val="24"/>
        </w:rPr>
      </w:pPr>
      <w:r w:rsidRPr="00BD5BB8">
        <w:rPr>
          <w:rFonts w:ascii="Times New Roman" w:hAnsi="Times New Roman" w:cs="Times New Roman"/>
          <w:sz w:val="24"/>
          <w:szCs w:val="24"/>
        </w:rPr>
        <w:t>През 201</w:t>
      </w:r>
      <w:r w:rsidR="00922D33" w:rsidRPr="00BD5BB8">
        <w:rPr>
          <w:rFonts w:ascii="Times New Roman" w:hAnsi="Times New Roman" w:cs="Times New Roman"/>
          <w:sz w:val="24"/>
          <w:szCs w:val="24"/>
        </w:rPr>
        <w:t>7</w:t>
      </w:r>
      <w:r w:rsidRPr="00BD5BB8">
        <w:rPr>
          <w:rFonts w:ascii="Times New Roman" w:hAnsi="Times New Roman" w:cs="Times New Roman"/>
          <w:sz w:val="24"/>
          <w:szCs w:val="24"/>
        </w:rPr>
        <w:t xml:space="preserve"> г. Министерството на труда и социалната политика подготви Доклад за отразяване на Националната концепция за насърчаване на активния живот на възрастните хора в България (2012</w:t>
      </w:r>
      <w:r w:rsidR="00572189" w:rsidRPr="00BD5BB8">
        <w:rPr>
          <w:rFonts w:ascii="Times New Roman" w:hAnsi="Times New Roman" w:cs="Times New Roman"/>
          <w:sz w:val="24"/>
          <w:szCs w:val="24"/>
        </w:rPr>
        <w:t xml:space="preserve"> – </w:t>
      </w:r>
      <w:r w:rsidRPr="00BD5BB8">
        <w:rPr>
          <w:rFonts w:ascii="Times New Roman" w:hAnsi="Times New Roman" w:cs="Times New Roman"/>
          <w:sz w:val="24"/>
          <w:szCs w:val="24"/>
        </w:rPr>
        <w:t>2030 г.) в секторните политики за периода 201</w:t>
      </w:r>
      <w:r w:rsidR="00922D33" w:rsidRPr="00BD5BB8">
        <w:rPr>
          <w:rFonts w:ascii="Times New Roman" w:hAnsi="Times New Roman" w:cs="Times New Roman"/>
          <w:sz w:val="24"/>
          <w:szCs w:val="24"/>
        </w:rPr>
        <w:t>5 – 2016</w:t>
      </w:r>
      <w:r w:rsidRPr="00BD5BB8">
        <w:rPr>
          <w:rFonts w:ascii="Times New Roman" w:hAnsi="Times New Roman" w:cs="Times New Roman"/>
          <w:sz w:val="24"/>
          <w:szCs w:val="24"/>
        </w:rPr>
        <w:t xml:space="preserve"> г., който е</w:t>
      </w:r>
      <w:r w:rsidRPr="00BD5BB8">
        <w:rPr>
          <w:rFonts w:ascii="Times New Roman" w:hAnsi="Times New Roman" w:cs="Times New Roman"/>
          <w:b/>
          <w:sz w:val="24"/>
          <w:szCs w:val="24"/>
        </w:rPr>
        <w:t xml:space="preserve"> </w:t>
      </w:r>
      <w:r w:rsidRPr="00BD5BB8">
        <w:rPr>
          <w:rFonts w:ascii="Times New Roman" w:hAnsi="Times New Roman" w:cs="Times New Roman"/>
          <w:sz w:val="24"/>
          <w:szCs w:val="24"/>
        </w:rPr>
        <w:t>приет с Решение на Министерския съвет – Прото</w:t>
      </w:r>
      <w:r w:rsidR="00922D33" w:rsidRPr="00BD5BB8">
        <w:rPr>
          <w:rFonts w:ascii="Times New Roman" w:hAnsi="Times New Roman" w:cs="Times New Roman"/>
          <w:sz w:val="24"/>
          <w:szCs w:val="24"/>
        </w:rPr>
        <w:t>кол №52</w:t>
      </w:r>
      <w:r w:rsidRPr="00BD5BB8">
        <w:rPr>
          <w:rFonts w:ascii="Times New Roman" w:hAnsi="Times New Roman" w:cs="Times New Roman"/>
          <w:sz w:val="24"/>
          <w:szCs w:val="24"/>
        </w:rPr>
        <w:t xml:space="preserve"> от </w:t>
      </w:r>
      <w:r w:rsidR="00922D33" w:rsidRPr="00BD5BB8">
        <w:rPr>
          <w:rFonts w:ascii="Times New Roman" w:hAnsi="Times New Roman" w:cs="Times New Roman"/>
          <w:sz w:val="24"/>
          <w:szCs w:val="24"/>
        </w:rPr>
        <w:t>13</w:t>
      </w:r>
      <w:r w:rsidRPr="00BD5BB8">
        <w:rPr>
          <w:rFonts w:ascii="Times New Roman" w:hAnsi="Times New Roman" w:cs="Times New Roman"/>
          <w:sz w:val="24"/>
          <w:szCs w:val="24"/>
        </w:rPr>
        <w:t xml:space="preserve"> </w:t>
      </w:r>
      <w:r w:rsidR="00922D33" w:rsidRPr="00BD5BB8">
        <w:rPr>
          <w:rFonts w:ascii="Times New Roman" w:hAnsi="Times New Roman" w:cs="Times New Roman"/>
          <w:sz w:val="24"/>
          <w:szCs w:val="24"/>
        </w:rPr>
        <w:t>декември</w:t>
      </w:r>
      <w:r w:rsidRPr="00BD5BB8">
        <w:rPr>
          <w:rFonts w:ascii="Times New Roman" w:hAnsi="Times New Roman" w:cs="Times New Roman"/>
          <w:sz w:val="24"/>
          <w:szCs w:val="24"/>
        </w:rPr>
        <w:t xml:space="preserve"> 201</w:t>
      </w:r>
      <w:r w:rsidR="00922D33" w:rsidRPr="00BD5BB8">
        <w:rPr>
          <w:rFonts w:ascii="Times New Roman" w:hAnsi="Times New Roman" w:cs="Times New Roman"/>
          <w:sz w:val="24"/>
          <w:szCs w:val="24"/>
        </w:rPr>
        <w:t>7</w:t>
      </w:r>
      <w:r w:rsidRPr="00BD5BB8">
        <w:rPr>
          <w:rFonts w:ascii="Times New Roman" w:hAnsi="Times New Roman" w:cs="Times New Roman"/>
          <w:sz w:val="24"/>
          <w:szCs w:val="24"/>
        </w:rPr>
        <w:t xml:space="preserve"> г. Анализът на получената и обобщена информация показва необходимостта от предприемане на интегрирани действия от страна на институциите за адаптиране на основни сектори като заетост, здравеопазване, образование, социално осигуряване и социално подпомагане към процеса на застаряване на населението.</w:t>
      </w:r>
    </w:p>
    <w:p w:rsidR="0009677D" w:rsidRPr="00BD5BB8" w:rsidRDefault="0009677D" w:rsidP="0009677D">
      <w:pPr>
        <w:spacing w:after="0" w:line="240" w:lineRule="auto"/>
        <w:ind w:firstLine="644"/>
        <w:jc w:val="both"/>
        <w:rPr>
          <w:rFonts w:ascii="Times New Roman" w:eastAsia="Calibri" w:hAnsi="Times New Roman" w:cs="Times New Roman"/>
          <w:color w:val="0D0D0D" w:themeColor="text1" w:themeTint="F2"/>
          <w:sz w:val="24"/>
          <w:szCs w:val="24"/>
          <w:lang w:eastAsia="bg-BG"/>
        </w:rPr>
      </w:pPr>
      <w:r w:rsidRPr="00BD5BB8">
        <w:rPr>
          <w:rFonts w:ascii="Times New Roman" w:eastAsia="Calibri" w:hAnsi="Times New Roman" w:cs="Times New Roman"/>
          <w:color w:val="0D0D0D" w:themeColor="text1" w:themeTint="F2"/>
          <w:sz w:val="24"/>
          <w:szCs w:val="24"/>
          <w:lang w:eastAsia="bg-BG"/>
        </w:rPr>
        <w:t xml:space="preserve">С Решение №142 от 15.03.2019 г. на Министерския съвет е приета Национална стратегия за активен живот на възрастните хора в България (2019 </w:t>
      </w:r>
      <w:r w:rsidR="00423310" w:rsidRPr="00BD5BB8">
        <w:rPr>
          <w:rFonts w:ascii="Times New Roman" w:eastAsia="Calibri" w:hAnsi="Times New Roman" w:cs="Times New Roman"/>
          <w:color w:val="0D0D0D" w:themeColor="text1" w:themeTint="F2"/>
          <w:sz w:val="24"/>
          <w:szCs w:val="24"/>
          <w:lang w:eastAsia="bg-BG"/>
        </w:rPr>
        <w:t xml:space="preserve">– </w:t>
      </w:r>
      <w:r w:rsidRPr="00BD5BB8">
        <w:rPr>
          <w:rFonts w:ascii="Times New Roman" w:eastAsia="Calibri" w:hAnsi="Times New Roman" w:cs="Times New Roman"/>
          <w:color w:val="0D0D0D" w:themeColor="text1" w:themeTint="F2"/>
          <w:sz w:val="24"/>
          <w:szCs w:val="24"/>
          <w:lang w:eastAsia="bg-BG"/>
        </w:rPr>
        <w:t xml:space="preserve">2030 г.) с </w:t>
      </w:r>
      <w:r w:rsidR="00425892" w:rsidRPr="00BD5BB8">
        <w:rPr>
          <w:rFonts w:ascii="Times New Roman" w:eastAsia="Calibri" w:hAnsi="Times New Roman" w:cs="Times New Roman"/>
          <w:color w:val="0D0D0D" w:themeColor="text1" w:themeTint="F2"/>
          <w:sz w:val="24"/>
          <w:szCs w:val="24"/>
          <w:lang w:eastAsia="bg-BG"/>
        </w:rPr>
        <w:t>която</w:t>
      </w:r>
      <w:r w:rsidRPr="00BD5BB8">
        <w:rPr>
          <w:rFonts w:ascii="Times New Roman" w:eastAsia="Calibri" w:hAnsi="Times New Roman" w:cs="Times New Roman"/>
          <w:color w:val="0D0D0D" w:themeColor="text1" w:themeTint="F2"/>
          <w:sz w:val="24"/>
          <w:szCs w:val="24"/>
          <w:lang w:eastAsia="bg-BG"/>
        </w:rPr>
        <w:t xml:space="preserve"> е отменено действието на Националната концепция за насърчаване на активния живот на възрастните хора (2012 </w:t>
      </w:r>
      <w:r w:rsidR="00572189" w:rsidRPr="00BD5BB8">
        <w:rPr>
          <w:rFonts w:ascii="Times New Roman" w:eastAsia="Calibri" w:hAnsi="Times New Roman" w:cs="Times New Roman"/>
          <w:color w:val="0D0D0D" w:themeColor="text1" w:themeTint="F2"/>
          <w:sz w:val="24"/>
          <w:szCs w:val="24"/>
          <w:lang w:eastAsia="bg-BG"/>
        </w:rPr>
        <w:t xml:space="preserve">– </w:t>
      </w:r>
      <w:r w:rsidRPr="00BD5BB8">
        <w:rPr>
          <w:rFonts w:ascii="Times New Roman" w:eastAsia="Calibri" w:hAnsi="Times New Roman" w:cs="Times New Roman"/>
          <w:color w:val="0D0D0D" w:themeColor="text1" w:themeTint="F2"/>
          <w:sz w:val="24"/>
          <w:szCs w:val="24"/>
          <w:lang w:eastAsia="bg-BG"/>
        </w:rPr>
        <w:t>2030 г.). Настоящият двугодишен доклад за степента на отразяване на Националната концепция за насърчаване на активния живот на възрастните хора в България (2012</w:t>
      </w:r>
      <w:r w:rsidR="00572189" w:rsidRPr="00BD5BB8">
        <w:rPr>
          <w:rFonts w:ascii="Times New Roman" w:eastAsia="Calibri" w:hAnsi="Times New Roman" w:cs="Times New Roman"/>
          <w:color w:val="0D0D0D" w:themeColor="text1" w:themeTint="F2"/>
          <w:sz w:val="24"/>
          <w:szCs w:val="24"/>
          <w:lang w:eastAsia="bg-BG"/>
        </w:rPr>
        <w:t xml:space="preserve"> – </w:t>
      </w:r>
      <w:r w:rsidRPr="00BD5BB8">
        <w:rPr>
          <w:rFonts w:ascii="Times New Roman" w:eastAsia="Calibri" w:hAnsi="Times New Roman" w:cs="Times New Roman"/>
          <w:color w:val="0D0D0D" w:themeColor="text1" w:themeTint="F2"/>
          <w:sz w:val="24"/>
          <w:szCs w:val="24"/>
          <w:lang w:eastAsia="bg-BG"/>
        </w:rPr>
        <w:t>2030 г.) в секторните политики е последния и се изготвя за периода 2017</w:t>
      </w:r>
      <w:r w:rsidR="00425892" w:rsidRPr="00BD5BB8">
        <w:rPr>
          <w:rFonts w:ascii="Times New Roman" w:eastAsia="Calibri" w:hAnsi="Times New Roman" w:cs="Times New Roman"/>
          <w:color w:val="0D0D0D" w:themeColor="text1" w:themeTint="F2"/>
          <w:sz w:val="24"/>
          <w:szCs w:val="24"/>
          <w:lang w:eastAsia="bg-BG"/>
        </w:rPr>
        <w:t xml:space="preserve"> </w:t>
      </w:r>
      <w:r w:rsidR="00572189" w:rsidRPr="00BD5BB8">
        <w:rPr>
          <w:rFonts w:ascii="Times New Roman" w:eastAsia="Calibri" w:hAnsi="Times New Roman" w:cs="Times New Roman"/>
          <w:color w:val="0D0D0D" w:themeColor="text1" w:themeTint="F2"/>
          <w:sz w:val="24"/>
          <w:szCs w:val="24"/>
          <w:lang w:eastAsia="bg-BG"/>
        </w:rPr>
        <w:t xml:space="preserve">– </w:t>
      </w:r>
      <w:r w:rsidRPr="00BD5BB8">
        <w:rPr>
          <w:rFonts w:ascii="Times New Roman" w:eastAsia="Calibri" w:hAnsi="Times New Roman" w:cs="Times New Roman"/>
          <w:color w:val="0D0D0D" w:themeColor="text1" w:themeTint="F2"/>
          <w:sz w:val="24"/>
          <w:szCs w:val="24"/>
          <w:lang w:eastAsia="bg-BG"/>
        </w:rPr>
        <w:t>2018 г.</w:t>
      </w:r>
      <w:r w:rsidR="00C362DE" w:rsidRPr="00C362DE">
        <w:rPr>
          <w:rFonts w:ascii="Times New Roman" w:eastAsia="Times New Roman" w:hAnsi="Times New Roman" w:cs="Times New Roman"/>
          <w:bCs/>
          <w:color w:val="000000" w:themeColor="text1"/>
          <w:sz w:val="24"/>
          <w:szCs w:val="24"/>
        </w:rPr>
        <w:t xml:space="preserve"> </w:t>
      </w:r>
      <w:r w:rsidR="00C362DE" w:rsidRPr="00C362DE">
        <w:rPr>
          <w:rFonts w:ascii="Times New Roman" w:eastAsia="Calibri" w:hAnsi="Times New Roman" w:cs="Times New Roman"/>
          <w:bCs/>
          <w:color w:val="0D0D0D" w:themeColor="text1" w:themeTint="F2"/>
          <w:sz w:val="24"/>
          <w:szCs w:val="24"/>
          <w:lang w:eastAsia="bg-BG"/>
        </w:rPr>
        <w:t>В бъдеще отговорните ведомства ще се включват в разработването на двугодишни планове и двугодишни отчети, които ще се изготвят от Министерството на труда и социалната политика и ще бъдат внасяни за разглеждане и приемане от Министерския съвет.</w:t>
      </w:r>
    </w:p>
    <w:p w:rsidR="005F2097" w:rsidRPr="00BD5BB8" w:rsidRDefault="005F2097" w:rsidP="005F2097">
      <w:pPr>
        <w:spacing w:after="0" w:line="240" w:lineRule="auto"/>
        <w:ind w:firstLine="720"/>
        <w:jc w:val="both"/>
        <w:rPr>
          <w:rFonts w:ascii="Times New Roman" w:hAnsi="Times New Roman" w:cs="Times New Roman"/>
          <w:sz w:val="24"/>
          <w:szCs w:val="24"/>
        </w:rPr>
      </w:pPr>
      <w:r w:rsidRPr="00BD5BB8">
        <w:rPr>
          <w:rFonts w:ascii="Times New Roman" w:hAnsi="Times New Roman" w:cs="Times New Roman"/>
          <w:sz w:val="24"/>
          <w:szCs w:val="24"/>
        </w:rPr>
        <w:t xml:space="preserve"> </w:t>
      </w:r>
    </w:p>
    <w:p w:rsidR="005F2097" w:rsidRPr="00BD5BB8" w:rsidRDefault="005F2097" w:rsidP="005F2097">
      <w:pPr>
        <w:spacing w:after="0" w:line="240" w:lineRule="auto"/>
        <w:rPr>
          <w:rFonts w:ascii="Times New Roman" w:hAnsi="Times New Roman" w:cs="Times New Roman"/>
          <w:sz w:val="24"/>
          <w:szCs w:val="24"/>
        </w:rPr>
      </w:pPr>
      <w:r w:rsidRPr="00BD5BB8">
        <w:rPr>
          <w:rFonts w:ascii="Times New Roman" w:hAnsi="Times New Roman" w:cs="Times New Roman"/>
          <w:sz w:val="24"/>
          <w:szCs w:val="24"/>
        </w:rPr>
        <w:br w:type="page"/>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Оперативна цел № 1</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Осигуряване на условия за активен трудов живот на възрастните хора</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p>
    <w:p w:rsidR="005F2097" w:rsidRPr="00BD5BB8" w:rsidRDefault="005F2097" w:rsidP="005F2097">
      <w:pPr>
        <w:spacing w:after="0" w:line="240" w:lineRule="auto"/>
        <w:jc w:val="both"/>
      </w:pPr>
    </w:p>
    <w:p w:rsidR="005F2097" w:rsidRPr="00BD5BB8" w:rsidRDefault="005F2097" w:rsidP="005F2097">
      <w:pPr>
        <w:shd w:val="clear" w:color="auto" w:fill="99FF33"/>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 xml:space="preserve">3.1. Мерки на пазара на труда за осигуряване на условия </w:t>
      </w:r>
    </w:p>
    <w:p w:rsidR="005F2097" w:rsidRPr="00BD5BB8" w:rsidRDefault="005F2097" w:rsidP="005F2097">
      <w:pPr>
        <w:shd w:val="clear" w:color="auto" w:fill="99FF33"/>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за активен трудов живот на възрастните хора по Оперативна цел 1</w:t>
      </w:r>
    </w:p>
    <w:p w:rsidR="005F2097" w:rsidRPr="00BD5BB8" w:rsidRDefault="005F2097" w:rsidP="005F2097">
      <w:pPr>
        <w:spacing w:after="0" w:line="240" w:lineRule="auto"/>
        <w:jc w:val="both"/>
      </w:pPr>
    </w:p>
    <w:p w:rsidR="005F2097" w:rsidRPr="00BD5BB8" w:rsidRDefault="005F2097" w:rsidP="005F2097">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cs="Times New Roman"/>
          <w:b/>
          <w:caps/>
          <w:color w:val="C0504D" w:themeColor="accent2"/>
          <w:sz w:val="24"/>
          <w:szCs w:val="24"/>
        </w:rPr>
        <w:t>Министерство на труда и социалната политика</w:t>
      </w:r>
    </w:p>
    <w:p w:rsidR="005F2097" w:rsidRPr="00BD5BB8" w:rsidRDefault="005F2097" w:rsidP="005F2097">
      <w:pPr>
        <w:spacing w:after="0" w:line="240" w:lineRule="auto"/>
        <w:jc w:val="center"/>
        <w:rPr>
          <w:rFonts w:ascii="Times New Roman" w:hAnsi="Times New Roman" w:cs="Times New Roman"/>
          <w:b/>
          <w:color w:val="C0504D" w:themeColor="accent2"/>
          <w:sz w:val="24"/>
          <w:szCs w:val="24"/>
        </w:rPr>
      </w:pPr>
      <w:r w:rsidRPr="00BD5BB8">
        <w:rPr>
          <w:rFonts w:ascii="Times New Roman" w:hAnsi="Times New Roman" w:cs="Times New Roman"/>
          <w:b/>
          <w:color w:val="C0504D" w:themeColor="accent2"/>
          <w:sz w:val="24"/>
          <w:szCs w:val="24"/>
        </w:rPr>
        <w:t>Дирекция: Политика на пазара на труда и трудова мобилност</w:t>
      </w:r>
    </w:p>
    <w:p w:rsidR="005F2097" w:rsidRPr="00BD5BB8" w:rsidRDefault="005F2097" w:rsidP="005F2097">
      <w:pPr>
        <w:spacing w:after="0" w:line="240" w:lineRule="auto"/>
        <w:jc w:val="center"/>
        <w:rPr>
          <w:rFonts w:ascii="Times New Roman" w:hAnsi="Times New Roman"/>
          <w:b/>
          <w:color w:val="C0504D" w:themeColor="accent2"/>
          <w:sz w:val="24"/>
          <w:szCs w:val="24"/>
        </w:rPr>
      </w:pPr>
      <w:r w:rsidRPr="00BD5BB8">
        <w:rPr>
          <w:rFonts w:ascii="Times New Roman" w:hAnsi="Times New Roman"/>
          <w:b/>
          <w:color w:val="C0504D" w:themeColor="accent2"/>
          <w:sz w:val="24"/>
          <w:szCs w:val="24"/>
        </w:rPr>
        <w:t>АГЕНЦИЯ ПО ЗАЕТОСТТА (АЗ)</w:t>
      </w:r>
    </w:p>
    <w:p w:rsidR="005F2097" w:rsidRPr="00BD5BB8" w:rsidRDefault="005F2097" w:rsidP="005F2097">
      <w:pPr>
        <w:spacing w:after="0" w:line="240" w:lineRule="auto"/>
        <w:ind w:firstLine="708"/>
        <w:jc w:val="both"/>
        <w:rPr>
          <w:rFonts w:ascii="Times New Roman" w:hAnsi="Times New Roman" w:cs="Times New Roman"/>
          <w:sz w:val="24"/>
          <w:szCs w:val="24"/>
        </w:rPr>
      </w:pPr>
    </w:p>
    <w:p w:rsidR="00561825" w:rsidRPr="00BD5BB8" w:rsidRDefault="00561825" w:rsidP="00561825">
      <w:pPr>
        <w:spacing w:after="0" w:line="240" w:lineRule="auto"/>
        <w:ind w:firstLine="709"/>
        <w:jc w:val="both"/>
        <w:rPr>
          <w:rFonts w:ascii="Times New Roman" w:eastAsia="Times New Roman" w:hAnsi="Times New Roman" w:cs="Times New Roman"/>
          <w:kern w:val="22"/>
          <w:sz w:val="24"/>
          <w:szCs w:val="24"/>
          <w:lang w:eastAsia="ja-JP"/>
          <w14:ligatures w14:val="standard"/>
        </w:rPr>
      </w:pPr>
      <w:r w:rsidRPr="00BD5BB8">
        <w:rPr>
          <w:rFonts w:ascii="Times New Roman" w:hAnsi="Times New Roman" w:cs="Times New Roman"/>
          <w:sz w:val="24"/>
          <w:szCs w:val="24"/>
        </w:rPr>
        <w:t>Един от важните аспекти в политиките за повишаване предлагането на работна сила, е свързан с активиране на безработните лица над 50 години. Позитивен ефект за заетостта на лицата от тази група имат инвестициите в безопасни и здравословни условия на труд, възможностите за участие в учене през целия живот и услугите за активиране и подкрепа за заетост. Целта в Националния план за действие по заетостта през 2017 г. за достигане на 54% заетост сред по-възрастните (55-64 г.) e изпълнена. По данни от Наблюдението на работната сила на Националния статистически институт стойността на коефициента на заетост за тази група през 2017 г. е 58</w:t>
      </w:r>
      <w:r w:rsidR="00432E1A">
        <w:rPr>
          <w:rFonts w:ascii="Times New Roman" w:hAnsi="Times New Roman" w:cs="Times New Roman"/>
          <w:sz w:val="24"/>
          <w:szCs w:val="24"/>
        </w:rPr>
        <w:t>.</w:t>
      </w:r>
      <w:r w:rsidRPr="00BD5BB8">
        <w:rPr>
          <w:rFonts w:ascii="Times New Roman" w:hAnsi="Times New Roman" w:cs="Times New Roman"/>
          <w:sz w:val="24"/>
          <w:szCs w:val="24"/>
        </w:rPr>
        <w:t xml:space="preserve">2%. Изпълнена е и целта в Националния план за действие по заетостта през 2018 г. за </w:t>
      </w:r>
      <w:r w:rsidRPr="00BD5BB8">
        <w:rPr>
          <w:rFonts w:ascii="Times New Roman" w:eastAsia="Times New Roman" w:hAnsi="Times New Roman" w:cs="Times New Roman"/>
          <w:kern w:val="22"/>
          <w:sz w:val="24"/>
          <w:szCs w:val="24"/>
          <w:lang w:eastAsia="ja-JP"/>
          <w14:ligatures w14:val="standard"/>
        </w:rPr>
        <w:t>59% заетост при лицата на възраст 55-64 г.</w:t>
      </w:r>
      <w:r w:rsidRPr="00BD5BB8">
        <w:rPr>
          <w:rFonts w:ascii="Times New Roman" w:hAnsi="Times New Roman" w:cs="Times New Roman"/>
          <w:sz w:val="24"/>
          <w:szCs w:val="24"/>
        </w:rPr>
        <w:t xml:space="preserve"> Стойността на показателя </w:t>
      </w:r>
      <w:r w:rsidRPr="00BD5BB8">
        <w:rPr>
          <w:rFonts w:ascii="Times New Roman" w:eastAsia="Times New Roman" w:hAnsi="Times New Roman" w:cs="Times New Roman"/>
          <w:kern w:val="22"/>
          <w:sz w:val="24"/>
          <w:szCs w:val="24"/>
          <w:lang w:eastAsia="ja-JP"/>
          <w14:ligatures w14:val="standard"/>
        </w:rPr>
        <w:t>е 60</w:t>
      </w:r>
      <w:r w:rsidR="00432E1A">
        <w:rPr>
          <w:rFonts w:ascii="Times New Roman" w:eastAsia="Times New Roman" w:hAnsi="Times New Roman" w:cs="Times New Roman"/>
          <w:kern w:val="22"/>
          <w:sz w:val="24"/>
          <w:szCs w:val="24"/>
          <w:lang w:eastAsia="ja-JP"/>
          <w14:ligatures w14:val="standard"/>
        </w:rPr>
        <w:t>.</w:t>
      </w:r>
      <w:r w:rsidRPr="00BD5BB8">
        <w:rPr>
          <w:rFonts w:ascii="Times New Roman" w:eastAsia="Times New Roman" w:hAnsi="Times New Roman" w:cs="Times New Roman"/>
          <w:kern w:val="22"/>
          <w:sz w:val="24"/>
          <w:szCs w:val="24"/>
          <w:lang w:eastAsia="ja-JP"/>
          <w14:ligatures w14:val="standard"/>
        </w:rPr>
        <w:t>7%.</w:t>
      </w:r>
    </w:p>
    <w:p w:rsidR="00561825" w:rsidRPr="00BD5BB8" w:rsidRDefault="00561825" w:rsidP="00561825">
      <w:pPr>
        <w:spacing w:after="0" w:line="240" w:lineRule="auto"/>
        <w:jc w:val="both"/>
        <w:rPr>
          <w:rFonts w:ascii="Times New Roman" w:eastAsia="Times New Roman" w:hAnsi="Times New Roman" w:cs="Times New Roman"/>
          <w:kern w:val="22"/>
          <w:sz w:val="24"/>
          <w:szCs w:val="24"/>
          <w:lang w:eastAsia="ja-JP"/>
          <w14:ligatures w14:val="standard"/>
        </w:rPr>
      </w:pPr>
      <w:r w:rsidRPr="00BD5BB8">
        <w:rPr>
          <w:rFonts w:ascii="Times New Roman" w:eastAsia="Times New Roman" w:hAnsi="Times New Roman" w:cs="Times New Roman"/>
          <w:kern w:val="22"/>
          <w:sz w:val="24"/>
          <w:szCs w:val="24"/>
          <w:lang w:eastAsia="ja-JP"/>
          <w14:ligatures w14:val="standard"/>
        </w:rPr>
        <w:tab/>
        <w:t>През периода 2017-2018 г. продължава намалението на безработицата сред по-възрастните. През 2017 г. коефициентът на безработица за лицата на 55 и повече години е 5</w:t>
      </w:r>
      <w:r w:rsidR="00432E1A">
        <w:rPr>
          <w:rFonts w:ascii="Times New Roman" w:eastAsia="Times New Roman" w:hAnsi="Times New Roman" w:cs="Times New Roman"/>
          <w:kern w:val="22"/>
          <w:sz w:val="24"/>
          <w:szCs w:val="24"/>
          <w:lang w:eastAsia="ja-JP"/>
          <w14:ligatures w14:val="standard"/>
        </w:rPr>
        <w:t>.</w:t>
      </w:r>
      <w:r w:rsidRPr="00BD5BB8">
        <w:rPr>
          <w:rFonts w:ascii="Times New Roman" w:eastAsia="Times New Roman" w:hAnsi="Times New Roman" w:cs="Times New Roman"/>
          <w:kern w:val="22"/>
          <w:sz w:val="24"/>
          <w:szCs w:val="24"/>
          <w:lang w:eastAsia="ja-JP"/>
          <w14:ligatures w14:val="standard"/>
        </w:rPr>
        <w:t>6%, като в сравнение с предходната година намалява с 1</w:t>
      </w:r>
      <w:r w:rsidR="00432E1A">
        <w:rPr>
          <w:rFonts w:ascii="Times New Roman" w:eastAsia="Times New Roman" w:hAnsi="Times New Roman" w:cs="Times New Roman"/>
          <w:kern w:val="22"/>
          <w:sz w:val="24"/>
          <w:szCs w:val="24"/>
          <w:lang w:eastAsia="ja-JP"/>
          <w14:ligatures w14:val="standard"/>
        </w:rPr>
        <w:t>.</w:t>
      </w:r>
      <w:r w:rsidRPr="00BD5BB8">
        <w:rPr>
          <w:rFonts w:ascii="Times New Roman" w:eastAsia="Times New Roman" w:hAnsi="Times New Roman" w:cs="Times New Roman"/>
          <w:kern w:val="22"/>
          <w:sz w:val="24"/>
          <w:szCs w:val="24"/>
          <w:lang w:eastAsia="ja-JP"/>
          <w14:ligatures w14:val="standard"/>
        </w:rPr>
        <w:t>3 процентни пункта (п.п.). През 2018 г. стойността на показателя е 4,4%, като намалението спрямо предходната година е с 1</w:t>
      </w:r>
      <w:r w:rsidR="00432E1A">
        <w:rPr>
          <w:rFonts w:ascii="Times New Roman" w:eastAsia="Times New Roman" w:hAnsi="Times New Roman" w:cs="Times New Roman"/>
          <w:kern w:val="22"/>
          <w:sz w:val="24"/>
          <w:szCs w:val="24"/>
          <w:lang w:eastAsia="ja-JP"/>
          <w14:ligatures w14:val="standard"/>
        </w:rPr>
        <w:t>.</w:t>
      </w:r>
      <w:r w:rsidRPr="00BD5BB8">
        <w:rPr>
          <w:rFonts w:ascii="Times New Roman" w:eastAsia="Times New Roman" w:hAnsi="Times New Roman" w:cs="Times New Roman"/>
          <w:kern w:val="22"/>
          <w:sz w:val="24"/>
          <w:szCs w:val="24"/>
          <w:lang w:eastAsia="ja-JP"/>
          <w14:ligatures w14:val="standard"/>
        </w:rPr>
        <w:t>2 п.п.</w:t>
      </w:r>
    </w:p>
    <w:p w:rsidR="00561825" w:rsidRPr="00BD5BB8" w:rsidRDefault="00561825" w:rsidP="00561825">
      <w:pPr>
        <w:spacing w:after="0" w:line="240" w:lineRule="auto"/>
        <w:jc w:val="both"/>
        <w:rPr>
          <w:rFonts w:ascii="Times New Roman" w:eastAsia="Times New Roman" w:hAnsi="Times New Roman" w:cs="Times New Roman"/>
          <w:sz w:val="24"/>
          <w:szCs w:val="24"/>
        </w:rPr>
      </w:pPr>
      <w:r w:rsidRPr="00BD5BB8">
        <w:rPr>
          <w:rFonts w:ascii="Times New Roman" w:eastAsia="Times New Roman" w:hAnsi="Times New Roman" w:cs="Times New Roman"/>
          <w:kern w:val="22"/>
          <w:sz w:val="24"/>
          <w:szCs w:val="24"/>
          <w:lang w:eastAsia="ja-JP"/>
          <w14:ligatures w14:val="standard"/>
        </w:rPr>
        <w:tab/>
      </w:r>
      <w:r w:rsidRPr="00BD5BB8">
        <w:rPr>
          <w:rFonts w:ascii="Times New Roman" w:eastAsia="Times New Roman" w:hAnsi="Times New Roman" w:cs="Times New Roman"/>
          <w:sz w:val="24"/>
          <w:szCs w:val="24"/>
        </w:rPr>
        <w:t>По данни от административната статистика на Агенцията по заетостта през 2018 г. регистрираните в бюрата по труда безработни лица над 50 години са 79 973, като намаляват с 14</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3% спрямо 2017 г. (</w:t>
      </w:r>
      <w:r w:rsidRPr="00BD5BB8">
        <w:rPr>
          <w:rFonts w:ascii="Times New Roman" w:eastAsia="Times New Roman" w:hAnsi="Times New Roman" w:cs="Times New Roman"/>
          <w:i/>
          <w:sz w:val="24"/>
          <w:szCs w:val="24"/>
        </w:rPr>
        <w:t>През 2017 г. техният брой е 93 316</w:t>
      </w:r>
      <w:r w:rsidRPr="00BD5BB8">
        <w:rPr>
          <w:rFonts w:ascii="Times New Roman" w:eastAsia="Times New Roman" w:hAnsi="Times New Roman" w:cs="Times New Roman"/>
          <w:sz w:val="24"/>
          <w:szCs w:val="24"/>
        </w:rPr>
        <w:t>.) Делът им от общия брой безработни лица в страната остава непроменен при сравнение с предходната година– 39</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4%. Групата се характеризира с висок дял на лицата без квалификация – 51</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4% (при 52</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2% през 2017 г.) и на лицата със средно образование – 46</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9% (при 46</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2% през 2017 г.).</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В контекста на демографските тенденции, свързани със застаряване и намаляване на населението, съчетано с увеличаване на продължителността на живот, ключово значение имат мерките, които подпомагат по-възрастните да участват на пазара на труда и да реализират своя потенциал. През периода 2017 - 2018 г. подкрепата за тази група е фокусирана в няколко области:</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Предоставяне на широк спектър от услуги, съобразени с личностния профил – мотивиране за активно поведение на пазара на труда, посредничество по информиране и наемане на работа на работни места, обявени в реалния сектор, участие в Ателие за търсене на работа и трудови борси, подкрепа от психолози и мениджъри на случай, включване в програми и мерки за обучение и заетост, финансирани със средства от държавния бюджет и операции по ОП РЧР;</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Участие в учене през целия живот за усвояване на необходимите умения, включително и цифрови умения  в бързо променящия се пазар на труда;</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lastRenderedPageBreak/>
        <w:tab/>
        <w:t>- Предоставяне на стимули за работодатели, които осигуряват заетост на по-възрастните и подкрепа за прехода към пенсиониране.</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Безработните лица над 50-годишна възраст са една от целевите групи в активната политика на пазара на труда през периода 2017-2018 г., със специален фокус върху тези от тях, които са без квалификация и с ниско образование, в предпенсионна възраст или професията и специалността, която притежават не е търсена от работодателите. В подкрепа на лицата от тази група се реализират целеви програми и мерки, финансирани със средства от държавния бюджет (Националната програма „Помощ за пенсиониране“ и насърчителната мярка в подкрепа на безработни лица над 55-годишна възраст- чл. 55а от ЗНЗ), които осигуряват стимули за работодателите. Възрастните хора участват без ограничения във всички проекти, програми и мерки за обучение и заетост, при спазване на изискванията за включване.</w:t>
      </w:r>
    </w:p>
    <w:p w:rsidR="00561825" w:rsidRPr="00BD5BB8" w:rsidRDefault="00561825" w:rsidP="00561825">
      <w:pPr>
        <w:spacing w:after="0" w:line="240" w:lineRule="auto"/>
        <w:jc w:val="both"/>
        <w:rPr>
          <w:rFonts w:ascii="Times New Roman" w:hAnsi="Times New Roman" w:cs="Times New Roman"/>
          <w:sz w:val="24"/>
          <w:szCs w:val="24"/>
        </w:rPr>
      </w:pPr>
    </w:p>
    <w:tbl>
      <w:tblPr>
        <w:tblStyle w:val="TableGrid2"/>
        <w:tblW w:w="0" w:type="auto"/>
        <w:tblLook w:val="04A0" w:firstRow="1" w:lastRow="0" w:firstColumn="1" w:lastColumn="0" w:noHBand="0" w:noVBand="1"/>
      </w:tblPr>
      <w:tblGrid>
        <w:gridCol w:w="9288"/>
      </w:tblGrid>
      <w:tr w:rsidR="00561825" w:rsidRPr="00BD5BB8" w:rsidTr="00561825">
        <w:tc>
          <w:tcPr>
            <w:tcW w:w="9638" w:type="dxa"/>
          </w:tcPr>
          <w:p w:rsidR="00561825" w:rsidRPr="00BD5BB8" w:rsidRDefault="00561825" w:rsidP="00561825">
            <w:pPr>
              <w:jc w:val="both"/>
              <w:rPr>
                <w:rFonts w:ascii="Times New Roman" w:hAnsi="Times New Roman" w:cs="Times New Roman"/>
                <w:sz w:val="24"/>
                <w:szCs w:val="24"/>
              </w:rPr>
            </w:pPr>
          </w:p>
          <w:p w:rsidR="00561825" w:rsidRPr="00BD5BB8" w:rsidRDefault="00561825" w:rsidP="00561825">
            <w:pPr>
              <w:ind w:firstLine="709"/>
              <w:jc w:val="both"/>
              <w:rPr>
                <w:rFonts w:ascii="Times New Roman" w:hAnsi="Times New Roman" w:cs="Times New Roman"/>
                <w:i/>
                <w:sz w:val="24"/>
                <w:szCs w:val="24"/>
              </w:rPr>
            </w:pPr>
            <w:r w:rsidRPr="00BD5BB8">
              <w:rPr>
                <w:rFonts w:ascii="Times New Roman" w:hAnsi="Times New Roman" w:cs="Times New Roman"/>
                <w:i/>
                <w:sz w:val="24"/>
                <w:szCs w:val="24"/>
              </w:rPr>
              <w:t>Насърчителната мярка от Закона за насърчаване на заетостта (ЗНЗ) за безработни лица над 55-годишна възраст (чл. 55а от ЗНЗ) се реализира в подкрепа на безработни лица в предпенсионна възраст. През 2018 г. са финансирани част от разходите на работодателите за трудово възнаграждение, допълнителни възнаграждения по трудовото и дължими вноски по осигурителното законодателство за период до 6 месеца. Субсидираната част от трудовото възнаграждение е в размер на 480 лв. за лицата с висше образование, наети на длъжности, за заемането на които минималното образователно и квалификационно ниво съгласно НКПД 2011 г., е определено като завършена степен на висше образование, а за останалите – в размер на 400 лв. Задължение на работодателя е да запази заетостта за допълнителен период, равен на периода на субсидиране.</w:t>
            </w:r>
          </w:p>
          <w:p w:rsidR="00561825" w:rsidRPr="00BD5BB8" w:rsidRDefault="00561825" w:rsidP="00561825">
            <w:pPr>
              <w:ind w:firstLine="709"/>
              <w:jc w:val="both"/>
              <w:rPr>
                <w:rFonts w:ascii="Times New Roman" w:hAnsi="Times New Roman" w:cs="Times New Roman"/>
                <w:i/>
                <w:sz w:val="24"/>
                <w:szCs w:val="24"/>
              </w:rPr>
            </w:pPr>
            <w:r w:rsidRPr="00BD5BB8">
              <w:rPr>
                <w:rFonts w:ascii="Times New Roman" w:hAnsi="Times New Roman" w:cs="Times New Roman"/>
                <w:i/>
                <w:sz w:val="24"/>
                <w:szCs w:val="24"/>
              </w:rPr>
              <w:t>За периода 2017 г. – 2018 г. в тази насърчителна мярка са включени общо в заетост 609 безработни лица над 55 г.</w:t>
            </w:r>
          </w:p>
          <w:p w:rsidR="00561825" w:rsidRPr="00BD5BB8" w:rsidRDefault="00561825" w:rsidP="00561825">
            <w:pPr>
              <w:ind w:firstLine="709"/>
              <w:jc w:val="both"/>
              <w:rPr>
                <w:rFonts w:ascii="Times New Roman" w:hAnsi="Times New Roman" w:cs="Times New Roman"/>
                <w:sz w:val="24"/>
                <w:szCs w:val="24"/>
              </w:rPr>
            </w:pPr>
          </w:p>
        </w:tc>
      </w:tr>
    </w:tbl>
    <w:p w:rsidR="00561825" w:rsidRPr="00BD5BB8" w:rsidRDefault="00561825" w:rsidP="00561825">
      <w:pPr>
        <w:spacing w:after="0" w:line="240" w:lineRule="auto"/>
        <w:jc w:val="both"/>
        <w:rPr>
          <w:rFonts w:ascii="Times New Roman" w:hAnsi="Times New Roman" w:cs="Times New Roman"/>
          <w:sz w:val="24"/>
          <w:szCs w:val="24"/>
        </w:rPr>
      </w:pP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За да могат по-възрастните хора да посрещнат бъдещето уверено, е важно те да бъдат подкрепени да придобият необходимите умения. През отчетния период участието в професионално обучение и обучение за придобиване на ключови компетентности е помогнало на лицата от тази група да се адаптират към промените и да останат по-дълго на работа.</w:t>
      </w:r>
    </w:p>
    <w:p w:rsidR="00561825" w:rsidRPr="00BD5BB8" w:rsidRDefault="00561825" w:rsidP="00561825">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В рамките на мащабни операции по ОП РЧР са подкрепени лицата от тази група чрез различни мерки за активиране, вкл. осигуряване на възможности за започване на работа директно при работодател, възможности за обучение за придобиване или повишаване на професионалната квалификация и ключовите компетентности. Според спецификата на целевата група за по-възрастните лица е осигурен достъп до мерки за професионално ориентиране, психологическо подпомагане, стимули за работодателите и подкрепа за оборудване на работните места и др. </w:t>
      </w:r>
    </w:p>
    <w:p w:rsidR="00561825" w:rsidRPr="00BD5BB8" w:rsidRDefault="00561825" w:rsidP="00561825">
      <w:pPr>
        <w:spacing w:after="0" w:line="240" w:lineRule="auto"/>
        <w:jc w:val="both"/>
      </w:pPr>
      <w:r w:rsidRPr="00BD5BB8">
        <w:rPr>
          <w:rFonts w:ascii="Times New Roman" w:hAnsi="Times New Roman" w:cs="Times New Roman"/>
          <w:sz w:val="24"/>
          <w:szCs w:val="24"/>
        </w:rPr>
        <w:tab/>
        <w:t>По данни на Агенцията по заетостта постъпилите на работа лица над 50 г. през 2018г. са 71 893 и отчитат увеличение от 1 196 лица (1</w:t>
      </w:r>
      <w:r w:rsidR="00432E1A">
        <w:rPr>
          <w:rFonts w:ascii="Times New Roman" w:hAnsi="Times New Roman" w:cs="Times New Roman"/>
          <w:sz w:val="24"/>
          <w:szCs w:val="24"/>
        </w:rPr>
        <w:t>.</w:t>
      </w:r>
      <w:r w:rsidRPr="00BD5BB8">
        <w:rPr>
          <w:rFonts w:ascii="Times New Roman" w:hAnsi="Times New Roman" w:cs="Times New Roman"/>
          <w:sz w:val="24"/>
          <w:szCs w:val="24"/>
        </w:rPr>
        <w:t>7%) спрямо предходната година. През 2018 г. 59 397 лица над 50-годишна възраст са постъпили на работа на първичния пазар на труда</w:t>
      </w:r>
      <w:r w:rsidR="00565BDF" w:rsidRPr="00BD5BB8">
        <w:rPr>
          <w:rFonts w:ascii="Times New Roman" w:hAnsi="Times New Roman" w:cs="Times New Roman"/>
          <w:sz w:val="24"/>
          <w:szCs w:val="24"/>
        </w:rPr>
        <w:t>.</w:t>
      </w:r>
      <w:r w:rsidRPr="00BD5BB8">
        <w:rPr>
          <w:rFonts w:ascii="Times New Roman" w:hAnsi="Times New Roman" w:cs="Times New Roman"/>
          <w:sz w:val="24"/>
          <w:szCs w:val="24"/>
        </w:rPr>
        <w:t xml:space="preserve"> През 2017 г. постъпилите на работа лица от възрастовата група над 50 години са 70 697, от които 61 572 на първичен пазар.</w:t>
      </w:r>
    </w:p>
    <w:p w:rsidR="005F2097" w:rsidRPr="00BD5BB8" w:rsidRDefault="005F2097" w:rsidP="005F2097">
      <w:pPr>
        <w:spacing w:after="0" w:line="240" w:lineRule="auto"/>
        <w:ind w:firstLine="708"/>
        <w:jc w:val="both"/>
        <w:rPr>
          <w:rFonts w:ascii="Times New Roman" w:hAnsi="Times New Roman"/>
          <w:b/>
          <w:bCs/>
          <w:sz w:val="24"/>
        </w:rPr>
      </w:pPr>
    </w:p>
    <w:p w:rsidR="005F2097" w:rsidRPr="00BD5BB8" w:rsidRDefault="005F2097" w:rsidP="005F2097">
      <w:pPr>
        <w:spacing w:after="0" w:line="240" w:lineRule="auto"/>
        <w:ind w:firstLine="708"/>
        <w:jc w:val="center"/>
        <w:rPr>
          <w:rFonts w:ascii="Times New Roman" w:hAnsi="Times New Roman"/>
          <w:b/>
          <w:bCs/>
          <w:sz w:val="24"/>
        </w:rPr>
      </w:pPr>
      <w:r w:rsidRPr="00BD5BB8">
        <w:rPr>
          <w:rFonts w:ascii="Times New Roman" w:hAnsi="Times New Roman"/>
          <w:b/>
          <w:bCs/>
          <w:sz w:val="24"/>
        </w:rPr>
        <w:lastRenderedPageBreak/>
        <w:t>Активен живот на възрастните хора – условие за устойчиво развитие на обществото, икономиката и социалните системи</w:t>
      </w:r>
    </w:p>
    <w:p w:rsidR="005F2097" w:rsidRPr="00BD5BB8" w:rsidRDefault="005F2097" w:rsidP="005F2097">
      <w:pPr>
        <w:spacing w:after="0" w:line="240" w:lineRule="auto"/>
        <w:ind w:firstLine="708"/>
        <w:jc w:val="center"/>
        <w:rPr>
          <w:rFonts w:ascii="Times New Roman" w:hAnsi="Times New Roman"/>
          <w:b/>
          <w:bCs/>
          <w:sz w:val="24"/>
        </w:rPr>
      </w:pPr>
    </w:p>
    <w:p w:rsidR="005F2097" w:rsidRPr="00BD5BB8" w:rsidRDefault="005F2097" w:rsidP="005F2097">
      <w:pPr>
        <w:spacing w:after="0" w:line="240" w:lineRule="auto"/>
        <w:ind w:firstLine="708"/>
        <w:jc w:val="center"/>
        <w:rPr>
          <w:rFonts w:ascii="Times New Roman" w:hAnsi="Times New Roman"/>
          <w:b/>
          <w:bCs/>
          <w:sz w:val="24"/>
        </w:rPr>
      </w:pPr>
      <w:r w:rsidRPr="00BD5BB8">
        <w:rPr>
          <w:rFonts w:ascii="Times New Roman" w:hAnsi="Times New Roman"/>
          <w:b/>
          <w:bCs/>
          <w:sz w:val="24"/>
        </w:rPr>
        <w:t>Пазар на труда</w:t>
      </w:r>
    </w:p>
    <w:p w:rsidR="005F2097" w:rsidRPr="00BD5BB8" w:rsidRDefault="005F2097" w:rsidP="005F2097">
      <w:pPr>
        <w:spacing w:after="0" w:line="240" w:lineRule="auto"/>
        <w:ind w:firstLine="708"/>
        <w:jc w:val="center"/>
        <w:rPr>
          <w:rFonts w:ascii="Times New Roman" w:hAnsi="Times New Roman"/>
          <w:b/>
          <w:bCs/>
          <w:sz w:val="24"/>
        </w:rPr>
      </w:pPr>
    </w:p>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Средномесечният брой на регистрираните безработни лица в бюрата по труда през 2018 г. е 202 994 лица, като при сравнение с предходната година се наблюдава съществено намаление в абсолютен брой, изразяващо се в 14.3%. Данните показват, че установената тенденция от 2014 г. насам на намаление на броя регистрирани безработни се запазва. През 2018 г., при сравнение с 2014 г., се отчита съществено намаление на безработните, с над 163 хил. лица.</w:t>
      </w:r>
    </w:p>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Съгласно административната статистика на АЗ, средномесечното равнище на безработица за страната през 2018 г. е 6.2%, с 1.0 процентен пункт (п.п.) по-малко спрямо 2017 г. През 2018 г. равнището на безработица в страната плавно намалява от 7.2% през януари до 5.6% през август и през септември, когато е отбелязан годишният минимум на регистрираната безработица. През оставащите три месеца равнището на безработица нараства минимално, до 6.1% през декември 2018 г.</w:t>
      </w:r>
    </w:p>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ind w:firstLine="284"/>
        <w:outlineLvl w:val="2"/>
        <w:rPr>
          <w:rFonts w:ascii="Times New Roman" w:eastAsia="Times New Roman" w:hAnsi="Times New Roman" w:cs="Times New Roman"/>
          <w:b/>
          <w:bCs/>
          <w:sz w:val="20"/>
          <w:szCs w:val="20"/>
        </w:rPr>
      </w:pPr>
      <w:r w:rsidRPr="00BD5BB8">
        <w:rPr>
          <w:rFonts w:ascii="Times New Roman" w:eastAsia="Times New Roman" w:hAnsi="Times New Roman" w:cs="Times New Roman"/>
          <w:b/>
          <w:bCs/>
          <w:sz w:val="20"/>
          <w:szCs w:val="20"/>
        </w:rPr>
        <w:t xml:space="preserve">Таблица 1: Средномесечен брой на безработните лица и средномесечно равнище на безработица </w:t>
      </w:r>
    </w:p>
    <w:tbl>
      <w:tblPr>
        <w:tblW w:w="8895" w:type="dxa"/>
        <w:jc w:val="center"/>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15"/>
        <w:gridCol w:w="2268"/>
        <w:gridCol w:w="3012"/>
      </w:tblGrid>
      <w:tr w:rsidR="001777F1" w:rsidRPr="00BD5BB8" w:rsidTr="00561825">
        <w:trPr>
          <w:trHeight w:val="312"/>
          <w:jc w:val="center"/>
        </w:trPr>
        <w:tc>
          <w:tcPr>
            <w:tcW w:w="3615" w:type="dxa"/>
            <w:shd w:val="clear" w:color="auto" w:fill="92D050"/>
          </w:tcPr>
          <w:p w:rsidR="001777F1" w:rsidRPr="00BD5BB8" w:rsidRDefault="001777F1" w:rsidP="001777F1">
            <w:pPr>
              <w:widowControl w:val="0"/>
              <w:autoSpaceDE w:val="0"/>
              <w:autoSpaceDN w:val="0"/>
              <w:spacing w:after="0" w:line="240" w:lineRule="auto"/>
              <w:ind w:firstLine="71"/>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Показатели</w:t>
            </w:r>
          </w:p>
        </w:tc>
        <w:tc>
          <w:tcPr>
            <w:tcW w:w="2268" w:type="dxa"/>
            <w:shd w:val="clear" w:color="auto" w:fill="92D050"/>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2017 г.</w:t>
            </w:r>
          </w:p>
        </w:tc>
        <w:tc>
          <w:tcPr>
            <w:tcW w:w="3012" w:type="dxa"/>
            <w:shd w:val="clear" w:color="auto" w:fill="92D050"/>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2018 г.</w:t>
            </w:r>
          </w:p>
        </w:tc>
      </w:tr>
      <w:tr w:rsidR="001777F1" w:rsidRPr="00BD5BB8" w:rsidTr="00561825">
        <w:trPr>
          <w:trHeight w:val="367"/>
          <w:jc w:val="center"/>
        </w:trPr>
        <w:tc>
          <w:tcPr>
            <w:tcW w:w="3615"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sz w:val="20"/>
                <w:szCs w:val="20"/>
              </w:rPr>
            </w:pPr>
            <w:r w:rsidRPr="00BD5BB8">
              <w:rPr>
                <w:rFonts w:ascii="Times New Roman" w:eastAsia="Times New Roman" w:hAnsi="Times New Roman" w:cs="Times New Roman"/>
                <w:b/>
                <w:sz w:val="20"/>
                <w:szCs w:val="20"/>
              </w:rPr>
              <w:t>Безработни лица</w:t>
            </w:r>
          </w:p>
        </w:tc>
        <w:tc>
          <w:tcPr>
            <w:tcW w:w="2268"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236 752</w:t>
            </w:r>
          </w:p>
        </w:tc>
        <w:tc>
          <w:tcPr>
            <w:tcW w:w="3012"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202 994</w:t>
            </w:r>
          </w:p>
        </w:tc>
      </w:tr>
      <w:tr w:rsidR="001777F1" w:rsidRPr="00BD5BB8" w:rsidTr="00561825">
        <w:trPr>
          <w:trHeight w:val="278"/>
          <w:jc w:val="center"/>
        </w:trPr>
        <w:tc>
          <w:tcPr>
            <w:tcW w:w="3615"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sz w:val="20"/>
                <w:szCs w:val="20"/>
              </w:rPr>
            </w:pPr>
            <w:r w:rsidRPr="00BD5BB8">
              <w:rPr>
                <w:rFonts w:ascii="Times New Roman" w:eastAsia="Times New Roman" w:hAnsi="Times New Roman" w:cs="Times New Roman"/>
                <w:b/>
                <w:sz w:val="20"/>
                <w:szCs w:val="20"/>
              </w:rPr>
              <w:t>Равнище на безработица</w:t>
            </w:r>
            <w:r w:rsidRPr="00BD5BB8">
              <w:rPr>
                <w:rFonts w:ascii="Times New Roman" w:eastAsia="Times New Roman" w:hAnsi="Times New Roman" w:cs="Times New Roman"/>
                <w:b/>
                <w:spacing w:val="56"/>
                <w:sz w:val="20"/>
                <w:szCs w:val="20"/>
              </w:rPr>
              <w:t xml:space="preserve"> </w:t>
            </w:r>
            <w:r w:rsidRPr="00BD5BB8">
              <w:rPr>
                <w:rFonts w:ascii="Times New Roman" w:eastAsia="Times New Roman" w:hAnsi="Times New Roman" w:cs="Times New Roman"/>
                <w:sz w:val="20"/>
                <w:szCs w:val="20"/>
              </w:rPr>
              <w:t>(%)</w:t>
            </w:r>
          </w:p>
        </w:tc>
        <w:tc>
          <w:tcPr>
            <w:tcW w:w="2268"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7.2</w:t>
            </w:r>
          </w:p>
        </w:tc>
        <w:tc>
          <w:tcPr>
            <w:tcW w:w="3012" w:type="dxa"/>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6.2</w:t>
            </w:r>
          </w:p>
        </w:tc>
      </w:tr>
    </w:tbl>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sz w:val="18"/>
          <w:szCs w:val="18"/>
        </w:rPr>
      </w:pPr>
      <w:r w:rsidRPr="00BD5BB8">
        <w:rPr>
          <w:rFonts w:ascii="Times New Roman" w:eastAsia="Times New Roman" w:hAnsi="Times New Roman" w:cs="Times New Roman"/>
          <w:sz w:val="18"/>
          <w:szCs w:val="18"/>
        </w:rPr>
        <w:t>Източник: Агенция по заетостта</w:t>
      </w:r>
    </w:p>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ind w:firstLine="993"/>
        <w:jc w:val="both"/>
        <w:outlineLvl w:val="2"/>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През 2018 г. безработните лица над 50 години са 79 973, като намаляват по численост с 14.3% спрямо 2017 г., а делът им от общия брой на безработните в страната остава непроменен при сравнение с предходната година - 39.4%.</w:t>
      </w:r>
    </w:p>
    <w:p w:rsidR="001777F1" w:rsidRPr="00BD5BB8" w:rsidRDefault="001777F1" w:rsidP="001777F1">
      <w:pPr>
        <w:widowControl w:val="0"/>
        <w:autoSpaceDE w:val="0"/>
        <w:autoSpaceDN w:val="0"/>
        <w:spacing w:after="0" w:line="240" w:lineRule="auto"/>
        <w:ind w:firstLine="993"/>
        <w:jc w:val="both"/>
        <w:outlineLvl w:val="2"/>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ind w:firstLine="284"/>
        <w:outlineLvl w:val="2"/>
        <w:rPr>
          <w:rFonts w:ascii="Times New Roman" w:eastAsia="Times New Roman" w:hAnsi="Times New Roman" w:cs="Times New Roman"/>
          <w:b/>
          <w:bCs/>
          <w:sz w:val="20"/>
          <w:szCs w:val="20"/>
        </w:rPr>
      </w:pPr>
      <w:r w:rsidRPr="00BD5BB8">
        <w:rPr>
          <w:rFonts w:ascii="Times New Roman" w:eastAsia="Times New Roman" w:hAnsi="Times New Roman" w:cs="Times New Roman"/>
          <w:b/>
          <w:bCs/>
          <w:sz w:val="20"/>
          <w:szCs w:val="20"/>
        </w:rPr>
        <w:t xml:space="preserve">Таблица 2: Средномесечен брой и дял на безработните лица над 50-годишна възраст </w:t>
      </w: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6"/>
        <w:gridCol w:w="2268"/>
        <w:gridCol w:w="2976"/>
      </w:tblGrid>
      <w:tr w:rsidR="001777F1" w:rsidRPr="00BD5BB8" w:rsidTr="00561825">
        <w:trPr>
          <w:trHeight w:val="314"/>
        </w:trPr>
        <w:tc>
          <w:tcPr>
            <w:tcW w:w="3686" w:type="dxa"/>
            <w:shd w:val="clear" w:color="auto" w:fill="92D050"/>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Показатели</w:t>
            </w:r>
          </w:p>
        </w:tc>
        <w:tc>
          <w:tcPr>
            <w:tcW w:w="2268" w:type="dxa"/>
            <w:shd w:val="clear" w:color="auto" w:fill="92D050"/>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2017 г.</w:t>
            </w:r>
          </w:p>
        </w:tc>
        <w:tc>
          <w:tcPr>
            <w:tcW w:w="2976" w:type="dxa"/>
            <w:shd w:val="clear" w:color="auto" w:fill="92D050"/>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2018 г.</w:t>
            </w:r>
          </w:p>
        </w:tc>
      </w:tr>
      <w:tr w:rsidR="001777F1" w:rsidRPr="00BD5BB8" w:rsidTr="00561825">
        <w:trPr>
          <w:trHeight w:val="551"/>
        </w:trPr>
        <w:tc>
          <w:tcPr>
            <w:tcW w:w="3686" w:type="dxa"/>
            <w:vAlign w:val="center"/>
          </w:tcPr>
          <w:p w:rsidR="001777F1" w:rsidRPr="00BD5BB8" w:rsidRDefault="001777F1" w:rsidP="001777F1">
            <w:pPr>
              <w:widowControl w:val="0"/>
              <w:tabs>
                <w:tab w:val="left" w:pos="180"/>
                <w:tab w:val="left" w:pos="339"/>
              </w:tabs>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Безработни лица над 50 г.</w:t>
            </w:r>
          </w:p>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p>
        </w:tc>
        <w:tc>
          <w:tcPr>
            <w:tcW w:w="2268" w:type="dxa"/>
            <w:vAlign w:val="center"/>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93 316</w:t>
            </w:r>
          </w:p>
        </w:tc>
        <w:tc>
          <w:tcPr>
            <w:tcW w:w="2976" w:type="dxa"/>
            <w:vAlign w:val="center"/>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79 973</w:t>
            </w:r>
          </w:p>
        </w:tc>
      </w:tr>
      <w:tr w:rsidR="001777F1" w:rsidRPr="00BD5BB8" w:rsidTr="00561825">
        <w:trPr>
          <w:trHeight w:val="551"/>
        </w:trPr>
        <w:tc>
          <w:tcPr>
            <w:tcW w:w="3686" w:type="dxa"/>
            <w:vAlign w:val="center"/>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Дял в общия брой на безработните   лица (%)</w:t>
            </w:r>
          </w:p>
        </w:tc>
        <w:tc>
          <w:tcPr>
            <w:tcW w:w="2268" w:type="dxa"/>
            <w:vAlign w:val="center"/>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39.4</w:t>
            </w:r>
          </w:p>
        </w:tc>
        <w:tc>
          <w:tcPr>
            <w:tcW w:w="2976" w:type="dxa"/>
            <w:vAlign w:val="center"/>
          </w:tcPr>
          <w:p w:rsidR="001777F1" w:rsidRPr="00BD5BB8" w:rsidRDefault="001777F1" w:rsidP="001777F1">
            <w:pPr>
              <w:widowControl w:val="0"/>
              <w:autoSpaceDE w:val="0"/>
              <w:autoSpaceDN w:val="0"/>
              <w:spacing w:after="0" w:line="240" w:lineRule="auto"/>
              <w:ind w:firstLine="14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39.4</w:t>
            </w:r>
          </w:p>
        </w:tc>
      </w:tr>
    </w:tbl>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Професионалната и образователна структура на безработните лица над 50 г. се характеризира с висок относителен дял на лицата без квалификация – 51.4% (при 52.2% през 2017 г.) и на лицата със средно образование – 46.9% (при 46.2% през 2017 г.).</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Най-висок дял на безработните лица над 50-годишна възраст продължават да се наблюдават в областите: Кърджали (51.3%), Смолян (51.1%), Разград (48.2%), Търговище (48.0%), при най-нисък дял отчетен в областите: София-град (26.6%), Стара Загора (30.3%) Варна (32.3%) и Пловдив (33.4%).</w:t>
      </w:r>
    </w:p>
    <w:p w:rsidR="001777F1" w:rsidRPr="00BD5BB8" w:rsidRDefault="001777F1" w:rsidP="001777F1">
      <w:pPr>
        <w:widowControl w:val="0"/>
        <w:autoSpaceDE w:val="0"/>
        <w:autoSpaceDN w:val="0"/>
        <w:spacing w:after="0" w:line="240" w:lineRule="auto"/>
        <w:ind w:left="1562"/>
        <w:jc w:val="both"/>
        <w:outlineLvl w:val="3"/>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outlineLvl w:val="3"/>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jc w:val="center"/>
        <w:outlineLvl w:val="3"/>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Функциониране и характеристики на пазара на труда</w:t>
      </w:r>
    </w:p>
    <w:p w:rsidR="001777F1" w:rsidRPr="00BD5BB8" w:rsidRDefault="001777F1" w:rsidP="001777F1">
      <w:pPr>
        <w:widowControl w:val="0"/>
        <w:autoSpaceDE w:val="0"/>
        <w:autoSpaceDN w:val="0"/>
        <w:spacing w:after="0" w:line="240" w:lineRule="auto"/>
        <w:jc w:val="center"/>
        <w:outlineLvl w:val="3"/>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jc w:val="center"/>
        <w:outlineLvl w:val="3"/>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Пазар на труда и посреднически услуги по заетостта</w:t>
      </w:r>
    </w:p>
    <w:p w:rsidR="001777F1" w:rsidRPr="00BD5BB8" w:rsidRDefault="001777F1" w:rsidP="001777F1">
      <w:pPr>
        <w:widowControl w:val="0"/>
        <w:autoSpaceDE w:val="0"/>
        <w:autoSpaceDN w:val="0"/>
        <w:spacing w:after="0" w:line="240" w:lineRule="auto"/>
        <w:jc w:val="center"/>
        <w:outlineLvl w:val="3"/>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lastRenderedPageBreak/>
        <w:t>Постъпилите на работа лица над 50 г. през 2018 г. са 71 893 и отчитат увеличение от 1 196 лица (1.7%) спрямо предходната година, като относителният им дял също бележи ръст от 1.7 п.п и достига 31.4%. От постъпилите на работа лица над 50 г., без квалификация са 27 061 лица (37.6%), като се увеличават с 543 лица (2.0%) спрямо 2017 г. От тази група с основно и по-ниско образование са 20 938 лица (77.4%). Броят на безработните лица над 50 г., започнали работа през годината, които са със специалност е 18 199 (25.3%). От групата на специалистите, най-добра трудова реализация намират тези с техническо образование – 39.9% (7 268 лица). След тях се нареждат специалистите с икономическо и юридическо образование – 20.3% (3 688 лица), специалистите в сферата на услугите, транспорта и охраната с 16.2% (2 941 лица), тези от сферата на селското стопанство – 7.0% (1 278 лица) и специалистите в областта на образованието-6.8% (1 239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През 2018 г. на първичния пазар на труда постъпилите на работа над 50-годишна възраст са 59 397 лица или 82.6% от всички започнали работа безработни лица над 50-годишна възраст през периода.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jc w:val="both"/>
        <w:outlineLvl w:val="2"/>
        <w:rPr>
          <w:rFonts w:ascii="Times New Roman" w:eastAsia="Times New Roman" w:hAnsi="Times New Roman" w:cs="Times New Roman"/>
          <w:b/>
          <w:bCs/>
          <w:sz w:val="20"/>
          <w:szCs w:val="20"/>
        </w:rPr>
      </w:pPr>
    </w:p>
    <w:p w:rsidR="001777F1" w:rsidRPr="00BD5BB8" w:rsidRDefault="001777F1" w:rsidP="001777F1">
      <w:pPr>
        <w:widowControl w:val="0"/>
        <w:autoSpaceDE w:val="0"/>
        <w:autoSpaceDN w:val="0"/>
        <w:spacing w:after="0" w:line="240" w:lineRule="auto"/>
        <w:jc w:val="both"/>
        <w:outlineLvl w:val="2"/>
        <w:rPr>
          <w:rFonts w:ascii="Times New Roman" w:eastAsia="Times New Roman" w:hAnsi="Times New Roman" w:cs="Times New Roman"/>
          <w:b/>
          <w:bCs/>
          <w:sz w:val="20"/>
          <w:szCs w:val="20"/>
        </w:rPr>
      </w:pPr>
      <w:r w:rsidRPr="00BD5BB8">
        <w:rPr>
          <w:rFonts w:ascii="Times New Roman" w:eastAsia="Times New Roman" w:hAnsi="Times New Roman" w:cs="Times New Roman"/>
          <w:b/>
          <w:bCs/>
          <w:sz w:val="20"/>
          <w:szCs w:val="20"/>
        </w:rPr>
        <w:t>Таблица 3: Брой и структура на регистрираните безработни лица над 50 – годишна възраст</w:t>
      </w:r>
    </w:p>
    <w:tbl>
      <w:tblPr>
        <w:tblW w:w="9214" w:type="dxa"/>
        <w:tblInd w:w="70" w:type="dxa"/>
        <w:tblLayout w:type="fixed"/>
        <w:tblCellMar>
          <w:left w:w="70" w:type="dxa"/>
          <w:right w:w="70" w:type="dxa"/>
        </w:tblCellMar>
        <w:tblLook w:val="04A0" w:firstRow="1" w:lastRow="0" w:firstColumn="1" w:lastColumn="0" w:noHBand="0" w:noVBand="1"/>
      </w:tblPr>
      <w:tblGrid>
        <w:gridCol w:w="2552"/>
        <w:gridCol w:w="1134"/>
        <w:gridCol w:w="992"/>
        <w:gridCol w:w="1134"/>
        <w:gridCol w:w="992"/>
        <w:gridCol w:w="1276"/>
        <w:gridCol w:w="1134"/>
      </w:tblGrid>
      <w:tr w:rsidR="001777F1" w:rsidRPr="00BD5BB8" w:rsidTr="00561825">
        <w:trPr>
          <w:trHeight w:val="300"/>
        </w:trPr>
        <w:tc>
          <w:tcPr>
            <w:tcW w:w="2552" w:type="dxa"/>
            <w:vMerge w:val="restart"/>
            <w:tcBorders>
              <w:top w:val="single" w:sz="4" w:space="0" w:color="auto"/>
              <w:left w:val="single" w:sz="4" w:space="0" w:color="auto"/>
              <w:bottom w:val="single" w:sz="4" w:space="0" w:color="auto"/>
              <w:right w:val="single" w:sz="4" w:space="0" w:color="auto"/>
            </w:tcBorders>
            <w:shd w:val="clear" w:color="auto" w:fill="92D050"/>
            <w:vAlign w:val="center"/>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ПОКАЗАТЕЛИ</w:t>
            </w:r>
          </w:p>
        </w:tc>
        <w:tc>
          <w:tcPr>
            <w:tcW w:w="2126" w:type="dxa"/>
            <w:gridSpan w:val="2"/>
            <w:tcBorders>
              <w:top w:val="single" w:sz="4" w:space="0" w:color="auto"/>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2017 г.</w:t>
            </w:r>
          </w:p>
        </w:tc>
        <w:tc>
          <w:tcPr>
            <w:tcW w:w="2126" w:type="dxa"/>
            <w:gridSpan w:val="2"/>
            <w:tcBorders>
              <w:top w:val="single" w:sz="4" w:space="0" w:color="auto"/>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2018 г.</w:t>
            </w:r>
          </w:p>
        </w:tc>
        <w:tc>
          <w:tcPr>
            <w:tcW w:w="2410" w:type="dxa"/>
            <w:gridSpan w:val="2"/>
            <w:tcBorders>
              <w:top w:val="single" w:sz="4" w:space="0" w:color="auto"/>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Прираст</w:t>
            </w:r>
          </w:p>
        </w:tc>
      </w:tr>
      <w:tr w:rsidR="001777F1" w:rsidRPr="00BD5BB8" w:rsidTr="00561825">
        <w:trPr>
          <w:trHeight w:val="300"/>
        </w:trPr>
        <w:tc>
          <w:tcPr>
            <w:tcW w:w="2552" w:type="dxa"/>
            <w:vMerge/>
            <w:tcBorders>
              <w:top w:val="single" w:sz="4" w:space="0" w:color="auto"/>
              <w:left w:val="single" w:sz="4" w:space="0" w:color="auto"/>
              <w:bottom w:val="single" w:sz="4" w:space="0" w:color="auto"/>
              <w:right w:val="single" w:sz="4" w:space="0" w:color="auto"/>
            </w:tcBorders>
            <w:shd w:val="clear" w:color="auto" w:fill="92D050"/>
            <w:vAlign w:val="center"/>
            <w:hideMark/>
          </w:tcPr>
          <w:p w:rsidR="001777F1" w:rsidRPr="00BD5BB8" w:rsidRDefault="001777F1" w:rsidP="001777F1">
            <w:pPr>
              <w:widowControl w:val="0"/>
              <w:autoSpaceDE w:val="0"/>
              <w:autoSpaceDN w:val="0"/>
              <w:spacing w:after="0" w:line="240" w:lineRule="auto"/>
              <w:ind w:firstLine="993"/>
              <w:jc w:val="both"/>
              <w:rPr>
                <w:rFonts w:ascii="Times New Roman" w:eastAsia="Times New Roman" w:hAnsi="Times New Roman" w:cs="Times New Roman"/>
                <w:b/>
                <w:sz w:val="20"/>
                <w:szCs w:val="20"/>
              </w:rPr>
            </w:pPr>
          </w:p>
        </w:tc>
        <w:tc>
          <w:tcPr>
            <w:tcW w:w="1134"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брой</w:t>
            </w:r>
          </w:p>
        </w:tc>
        <w:tc>
          <w:tcPr>
            <w:tcW w:w="992"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1"/>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w:t>
            </w:r>
          </w:p>
        </w:tc>
        <w:tc>
          <w:tcPr>
            <w:tcW w:w="1134"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1"/>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брой</w:t>
            </w:r>
          </w:p>
        </w:tc>
        <w:tc>
          <w:tcPr>
            <w:tcW w:w="992"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993"/>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w:t>
            </w:r>
          </w:p>
        </w:tc>
        <w:tc>
          <w:tcPr>
            <w:tcW w:w="1276"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брой</w:t>
            </w:r>
          </w:p>
        </w:tc>
        <w:tc>
          <w:tcPr>
            <w:tcW w:w="1134" w:type="dxa"/>
            <w:tcBorders>
              <w:top w:val="nil"/>
              <w:left w:val="nil"/>
              <w:bottom w:val="single" w:sz="4" w:space="0" w:color="auto"/>
              <w:right w:val="single" w:sz="4" w:space="0" w:color="auto"/>
            </w:tcBorders>
            <w:shd w:val="clear" w:color="auto" w:fill="92D050"/>
            <w:hideMark/>
          </w:tcPr>
          <w:p w:rsidR="001777F1" w:rsidRPr="00BD5BB8" w:rsidRDefault="001777F1" w:rsidP="001777F1">
            <w:pPr>
              <w:widowControl w:val="0"/>
              <w:autoSpaceDE w:val="0"/>
              <w:autoSpaceDN w:val="0"/>
              <w:spacing w:after="0" w:line="240" w:lineRule="auto"/>
              <w:ind w:firstLine="72"/>
              <w:jc w:val="center"/>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w:t>
            </w:r>
          </w:p>
        </w:tc>
      </w:tr>
      <w:tr w:rsidR="001777F1" w:rsidRPr="00BD5BB8" w:rsidTr="00561825">
        <w:trPr>
          <w:trHeight w:val="507"/>
        </w:trPr>
        <w:tc>
          <w:tcPr>
            <w:tcW w:w="2552" w:type="dxa"/>
            <w:tcBorders>
              <w:top w:val="nil"/>
              <w:left w:val="single" w:sz="4" w:space="0" w:color="auto"/>
              <w:bottom w:val="single" w:sz="4" w:space="0" w:color="auto"/>
              <w:right w:val="single" w:sz="4" w:space="0" w:color="auto"/>
            </w:tcBorders>
            <w:shd w:val="clear" w:color="000000" w:fill="FFFFFF"/>
            <w:hideMark/>
          </w:tcPr>
          <w:p w:rsidR="001777F1" w:rsidRPr="00BD5BB8" w:rsidRDefault="001777F1" w:rsidP="001777F1">
            <w:pPr>
              <w:spacing w:after="0" w:line="240" w:lineRule="auto"/>
              <w:ind w:left="-70"/>
              <w:jc w:val="both"/>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Регистрирани безработни лица, в т.ч.:</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236 752</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202 994</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color w:val="000000"/>
                <w:sz w:val="20"/>
                <w:szCs w:val="20"/>
                <w:lang w:eastAsia="bg-BG"/>
              </w:rPr>
            </w:pP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-33 758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-14,3</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hideMark/>
          </w:tcPr>
          <w:p w:rsidR="001777F1" w:rsidRPr="00BD5BB8" w:rsidRDefault="001777F1" w:rsidP="001777F1">
            <w:pPr>
              <w:spacing w:after="0" w:line="240" w:lineRule="auto"/>
              <w:ind w:hanging="70"/>
              <w:jc w:val="both"/>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Равнище на безработица (%)</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7.2</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6.2</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right="72" w:firstLine="72"/>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-1.0</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Регистрирани безработни лица над 50 г., от тях:</w:t>
            </w:r>
          </w:p>
        </w:tc>
        <w:tc>
          <w:tcPr>
            <w:tcW w:w="1134" w:type="dxa"/>
            <w:tcBorders>
              <w:top w:val="nil"/>
              <w:left w:val="nil"/>
              <w:bottom w:val="single" w:sz="4" w:space="0" w:color="auto"/>
              <w:right w:val="single" w:sz="4" w:space="0" w:color="auto"/>
            </w:tcBorders>
            <w:shd w:val="clear" w:color="auto" w:fill="66FF33"/>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93 316</w:t>
            </w:r>
          </w:p>
        </w:tc>
        <w:tc>
          <w:tcPr>
            <w:tcW w:w="992"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39.4</w:t>
            </w:r>
          </w:p>
        </w:tc>
        <w:tc>
          <w:tcPr>
            <w:tcW w:w="1134" w:type="dxa"/>
            <w:tcBorders>
              <w:top w:val="nil"/>
              <w:left w:val="nil"/>
              <w:bottom w:val="single" w:sz="4" w:space="0" w:color="auto"/>
              <w:right w:val="single" w:sz="4" w:space="0" w:color="auto"/>
            </w:tcBorders>
            <w:shd w:val="clear" w:color="auto" w:fill="66FF33"/>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79 973</w:t>
            </w:r>
          </w:p>
        </w:tc>
        <w:tc>
          <w:tcPr>
            <w:tcW w:w="992"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39.4</w:t>
            </w:r>
          </w:p>
        </w:tc>
        <w:tc>
          <w:tcPr>
            <w:tcW w:w="1276"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-13 343</w:t>
            </w:r>
          </w:p>
        </w:tc>
        <w:tc>
          <w:tcPr>
            <w:tcW w:w="1134"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b/>
                <w:bCs/>
                <w:sz w:val="20"/>
                <w:szCs w:val="20"/>
                <w:lang w:eastAsia="bg-BG"/>
              </w:rPr>
            </w:pPr>
            <w:r w:rsidRPr="00BD5BB8">
              <w:rPr>
                <w:rFonts w:ascii="Times New Roman" w:eastAsia="Times New Roman" w:hAnsi="Times New Roman" w:cs="Times New Roman"/>
                <w:b/>
                <w:bCs/>
                <w:sz w:val="20"/>
                <w:szCs w:val="20"/>
                <w:lang w:eastAsia="bg-BG"/>
              </w:rPr>
              <w:t>-14.3</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hideMark/>
          </w:tcPr>
          <w:p w:rsidR="001777F1" w:rsidRPr="00BD5BB8" w:rsidRDefault="001777F1" w:rsidP="001777F1">
            <w:pPr>
              <w:spacing w:after="0" w:line="240" w:lineRule="auto"/>
              <w:ind w:firstLine="72"/>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По пол</w:t>
            </w:r>
          </w:p>
        </w:tc>
        <w:tc>
          <w:tcPr>
            <w:tcW w:w="6662" w:type="dxa"/>
            <w:gridSpan w:val="6"/>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b/>
                <w:bCs/>
                <w:color w:val="000000"/>
                <w:sz w:val="20"/>
                <w:szCs w:val="20"/>
                <w:lang w:eastAsia="bg-BG"/>
              </w:rPr>
            </w:pP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hideMark/>
          </w:tcPr>
          <w:p w:rsidR="001777F1" w:rsidRPr="00BD5BB8" w:rsidRDefault="001777F1" w:rsidP="001777F1">
            <w:pPr>
              <w:spacing w:after="0" w:line="240" w:lineRule="auto"/>
              <w:ind w:firstLine="72"/>
              <w:jc w:val="both"/>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1. Жени</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49 841</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53.4</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43 103</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53.9</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-6 739</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-13.5</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hideMark/>
          </w:tcPr>
          <w:p w:rsidR="001777F1" w:rsidRPr="00BD5BB8" w:rsidRDefault="001777F1" w:rsidP="001777F1">
            <w:pPr>
              <w:spacing w:after="0" w:line="240" w:lineRule="auto"/>
              <w:ind w:firstLine="72"/>
              <w:jc w:val="both"/>
              <w:rPr>
                <w:rFonts w:ascii="Times New Roman" w:eastAsia="Times New Roman" w:hAnsi="Times New Roman" w:cs="Times New Roman"/>
                <w:color w:val="000000"/>
                <w:sz w:val="20"/>
                <w:szCs w:val="20"/>
                <w:lang w:eastAsia="bg-BG"/>
              </w:rPr>
            </w:pPr>
            <w:r w:rsidRPr="00BD5BB8">
              <w:rPr>
                <w:rFonts w:ascii="Times New Roman" w:eastAsia="Times New Roman" w:hAnsi="Times New Roman" w:cs="Times New Roman"/>
                <w:color w:val="000000"/>
                <w:sz w:val="20"/>
                <w:szCs w:val="20"/>
                <w:lang w:eastAsia="bg-BG"/>
              </w:rPr>
              <w:t>2. Мъже</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43 475</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46.6</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36 871</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46.1</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-6 604</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-15.2</w:t>
            </w:r>
          </w:p>
        </w:tc>
      </w:tr>
      <w:tr w:rsidR="001777F1" w:rsidRPr="00BD5BB8" w:rsidTr="00561825">
        <w:trPr>
          <w:trHeight w:val="300"/>
        </w:trPr>
        <w:tc>
          <w:tcPr>
            <w:tcW w:w="9214" w:type="dxa"/>
            <w:gridSpan w:val="7"/>
            <w:tcBorders>
              <w:top w:val="nil"/>
              <w:left w:val="single" w:sz="4" w:space="0" w:color="auto"/>
              <w:bottom w:val="single" w:sz="4" w:space="0" w:color="auto"/>
              <w:right w:val="single" w:sz="4" w:space="0" w:color="auto"/>
            </w:tcBorders>
            <w:shd w:val="clear" w:color="auto" w:fill="66FF33"/>
            <w:hideMark/>
          </w:tcPr>
          <w:p w:rsidR="001777F1" w:rsidRPr="00BD5BB8" w:rsidRDefault="001777F1" w:rsidP="001777F1">
            <w:pPr>
              <w:spacing w:after="0" w:line="240" w:lineRule="auto"/>
              <w:ind w:firstLine="993"/>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По професионален признак</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С работническа специалност</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28 240</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30.3</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24 750</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30.9</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-3 491</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-12.4</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Специалисти</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16 400</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17.6</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14 088</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17.6</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-2 312</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-14.1</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Без специалност и квалификация</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48 675</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52.2</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41 137</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51.4</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-7 538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-15.5</w:t>
            </w:r>
          </w:p>
        </w:tc>
      </w:tr>
      <w:tr w:rsidR="001777F1" w:rsidRPr="00BD5BB8" w:rsidTr="00561825">
        <w:trPr>
          <w:trHeight w:val="300"/>
        </w:trPr>
        <w:tc>
          <w:tcPr>
            <w:tcW w:w="9214" w:type="dxa"/>
            <w:gridSpan w:val="7"/>
            <w:tcBorders>
              <w:top w:val="nil"/>
              <w:left w:val="single" w:sz="4" w:space="0" w:color="auto"/>
              <w:bottom w:val="single" w:sz="4" w:space="0" w:color="auto"/>
              <w:right w:val="single" w:sz="4" w:space="0" w:color="auto"/>
            </w:tcBorders>
            <w:shd w:val="clear" w:color="auto" w:fill="66FF33"/>
            <w:hideMark/>
          </w:tcPr>
          <w:p w:rsidR="001777F1" w:rsidRPr="00BD5BB8" w:rsidRDefault="001777F1" w:rsidP="001777F1">
            <w:pPr>
              <w:spacing w:after="0" w:line="240" w:lineRule="auto"/>
              <w:ind w:firstLine="993"/>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По образование</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Висше</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7 060</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7.6</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6 251</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7.8</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-810</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-11.5</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Средно, в т.ч.:</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43 085</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46.2</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37 517</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46.9</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-5 568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-12.9</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Средно професионално</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35 501</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82.4</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31 025</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82.7</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-4 477</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i/>
                <w:iCs/>
                <w:sz w:val="20"/>
                <w:szCs w:val="20"/>
                <w:lang w:eastAsia="bg-BG"/>
              </w:rPr>
            </w:pPr>
            <w:r w:rsidRPr="00BD5BB8">
              <w:rPr>
                <w:rFonts w:ascii="Times New Roman" w:eastAsia="Times New Roman" w:hAnsi="Times New Roman" w:cs="Times New Roman"/>
                <w:i/>
                <w:iCs/>
                <w:sz w:val="20"/>
                <w:szCs w:val="20"/>
                <w:lang w:eastAsia="bg-BG"/>
              </w:rPr>
              <w:t>-12.6</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Основно</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18 936</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20.3</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15 839</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19.8</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-3 097</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-16.4</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Начално и по-ниско</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24 234</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26.0</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20 366</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25.5</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-3 868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-16.0</w:t>
            </w:r>
          </w:p>
        </w:tc>
      </w:tr>
      <w:tr w:rsidR="001777F1" w:rsidRPr="00BD5BB8" w:rsidTr="00561825">
        <w:trPr>
          <w:trHeight w:val="300"/>
        </w:trPr>
        <w:tc>
          <w:tcPr>
            <w:tcW w:w="9214" w:type="dxa"/>
            <w:gridSpan w:val="7"/>
            <w:tcBorders>
              <w:top w:val="nil"/>
              <w:left w:val="single" w:sz="4" w:space="0" w:color="auto"/>
              <w:bottom w:val="single" w:sz="4" w:space="0" w:color="auto"/>
              <w:right w:val="single" w:sz="4" w:space="0" w:color="auto"/>
            </w:tcBorders>
            <w:shd w:val="clear" w:color="auto" w:fill="66FF33"/>
            <w:hideMark/>
          </w:tcPr>
          <w:p w:rsidR="001777F1" w:rsidRPr="00BD5BB8" w:rsidRDefault="001777F1" w:rsidP="001777F1">
            <w:pPr>
              <w:spacing w:after="0" w:line="240" w:lineRule="auto"/>
              <w:ind w:firstLine="993"/>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Продължително безработни</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Продължително безработни, в т.ч.:</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87 706</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37.0</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65 072</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32.1</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-22 634</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-25.8</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 лица над 50 г.</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44 525</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50.8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33 067</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50.8</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-11 458</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-25.7</w:t>
            </w:r>
          </w:p>
        </w:tc>
      </w:tr>
      <w:tr w:rsidR="001777F1" w:rsidRPr="00BD5BB8" w:rsidTr="00561825">
        <w:trPr>
          <w:trHeight w:val="300"/>
        </w:trPr>
        <w:tc>
          <w:tcPr>
            <w:tcW w:w="9214" w:type="dxa"/>
            <w:gridSpan w:val="7"/>
            <w:tcBorders>
              <w:top w:val="nil"/>
              <w:left w:val="single" w:sz="4" w:space="0" w:color="auto"/>
              <w:bottom w:val="single" w:sz="4" w:space="0" w:color="auto"/>
              <w:right w:val="single" w:sz="4" w:space="0" w:color="auto"/>
            </w:tcBorders>
            <w:shd w:val="clear" w:color="auto" w:fill="66FF33"/>
            <w:hideMark/>
          </w:tcPr>
          <w:p w:rsidR="001777F1" w:rsidRPr="00BD5BB8" w:rsidRDefault="001777F1" w:rsidP="001777F1">
            <w:pPr>
              <w:spacing w:after="0" w:line="240" w:lineRule="auto"/>
              <w:ind w:firstLine="993"/>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t>Безработни с трайни увреждания</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Безработни лица с трайни увреждания, в т.ч.:</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13,466</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5.7</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13 628</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6.7</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162</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1.2</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 лица над 50 г.</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8,319</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61.8</w:t>
            </w:r>
          </w:p>
        </w:tc>
        <w:tc>
          <w:tcPr>
            <w:tcW w:w="1134" w:type="dxa"/>
            <w:tcBorders>
              <w:top w:val="nil"/>
              <w:left w:val="nil"/>
              <w:bottom w:val="single" w:sz="4" w:space="0" w:color="auto"/>
              <w:right w:val="single" w:sz="4" w:space="0" w:color="auto"/>
            </w:tcBorders>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8 434</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61.9</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115</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1.4</w:t>
            </w:r>
          </w:p>
        </w:tc>
      </w:tr>
      <w:tr w:rsidR="001777F1" w:rsidRPr="00BD5BB8" w:rsidTr="00561825">
        <w:trPr>
          <w:trHeight w:val="300"/>
        </w:trPr>
        <w:tc>
          <w:tcPr>
            <w:tcW w:w="9214" w:type="dxa"/>
            <w:gridSpan w:val="7"/>
            <w:tcBorders>
              <w:top w:val="nil"/>
              <w:left w:val="single" w:sz="4" w:space="0" w:color="auto"/>
              <w:bottom w:val="single" w:sz="4" w:space="0" w:color="auto"/>
              <w:right w:val="single" w:sz="4" w:space="0" w:color="auto"/>
            </w:tcBorders>
            <w:shd w:val="clear" w:color="auto" w:fill="66FF33"/>
            <w:hideMark/>
          </w:tcPr>
          <w:p w:rsidR="001777F1" w:rsidRPr="00BD5BB8" w:rsidRDefault="001777F1" w:rsidP="001777F1">
            <w:pPr>
              <w:spacing w:after="0" w:line="240" w:lineRule="auto"/>
              <w:ind w:firstLine="993"/>
              <w:rPr>
                <w:rFonts w:ascii="Times New Roman" w:eastAsia="Times New Roman" w:hAnsi="Times New Roman" w:cs="Times New Roman"/>
                <w:b/>
                <w:bCs/>
                <w:color w:val="000000"/>
                <w:sz w:val="20"/>
                <w:szCs w:val="20"/>
                <w:lang w:eastAsia="bg-BG"/>
              </w:rPr>
            </w:pPr>
            <w:r w:rsidRPr="00BD5BB8">
              <w:rPr>
                <w:rFonts w:ascii="Times New Roman" w:eastAsia="Times New Roman" w:hAnsi="Times New Roman" w:cs="Times New Roman"/>
                <w:b/>
                <w:bCs/>
                <w:color w:val="000000"/>
                <w:sz w:val="20"/>
                <w:szCs w:val="20"/>
                <w:lang w:eastAsia="bg-BG"/>
              </w:rPr>
              <w:lastRenderedPageBreak/>
              <w:t>Постъпили на работа лица</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Постъпили на работа - всичко, от тях:</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237 969</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color w:val="000000"/>
                <w:sz w:val="20"/>
                <w:szCs w:val="20"/>
                <w:lang w:eastAsia="bg-BG"/>
              </w:rPr>
            </w:pP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229 089</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color w:val="000000"/>
                <w:sz w:val="20"/>
                <w:szCs w:val="20"/>
                <w:lang w:eastAsia="bg-BG"/>
              </w:rPr>
            </w:pP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-8 880</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-3.7</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 лица над 50 г.</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70 697</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29.7</w:t>
            </w:r>
          </w:p>
        </w:tc>
        <w:tc>
          <w:tcPr>
            <w:tcW w:w="1134" w:type="dxa"/>
            <w:tcBorders>
              <w:top w:val="nil"/>
              <w:left w:val="nil"/>
              <w:bottom w:val="single" w:sz="4" w:space="0" w:color="auto"/>
              <w:right w:val="single" w:sz="4" w:space="0" w:color="auto"/>
            </w:tcBorders>
            <w:shd w:val="clear" w:color="000000" w:fill="FFFFFF"/>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71 893</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31.4</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1 196</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1.7</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left="72"/>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Постъпили на работа на първичния пазар на труда, от тях:</w:t>
            </w:r>
          </w:p>
        </w:tc>
        <w:tc>
          <w:tcPr>
            <w:tcW w:w="1134" w:type="dxa"/>
            <w:tcBorders>
              <w:top w:val="nil"/>
              <w:left w:val="nil"/>
              <w:bottom w:val="single" w:sz="4" w:space="0" w:color="auto"/>
              <w:right w:val="single" w:sz="4" w:space="0" w:color="auto"/>
            </w:tcBorders>
            <w:shd w:val="clear" w:color="auto" w:fill="66FF33"/>
            <w:noWrap/>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208 332</w:t>
            </w:r>
          </w:p>
        </w:tc>
        <w:tc>
          <w:tcPr>
            <w:tcW w:w="992"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87.5</w:t>
            </w:r>
          </w:p>
        </w:tc>
        <w:tc>
          <w:tcPr>
            <w:tcW w:w="1134" w:type="dxa"/>
            <w:tcBorders>
              <w:top w:val="nil"/>
              <w:left w:val="nil"/>
              <w:bottom w:val="single" w:sz="4" w:space="0" w:color="auto"/>
              <w:right w:val="single" w:sz="4" w:space="0" w:color="auto"/>
            </w:tcBorders>
            <w:shd w:val="clear" w:color="auto" w:fill="66FF33"/>
            <w:noWrap/>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196 817</w:t>
            </w:r>
          </w:p>
        </w:tc>
        <w:tc>
          <w:tcPr>
            <w:tcW w:w="992"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85.9</w:t>
            </w:r>
          </w:p>
        </w:tc>
        <w:tc>
          <w:tcPr>
            <w:tcW w:w="1276"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-11 515</w:t>
            </w:r>
          </w:p>
        </w:tc>
        <w:tc>
          <w:tcPr>
            <w:tcW w:w="1134" w:type="dxa"/>
            <w:tcBorders>
              <w:top w:val="nil"/>
              <w:left w:val="nil"/>
              <w:bottom w:val="single" w:sz="4" w:space="0" w:color="auto"/>
              <w:right w:val="single" w:sz="4" w:space="0" w:color="auto"/>
            </w:tcBorders>
            <w:shd w:val="clear" w:color="auto" w:fill="66FF33"/>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-5.5</w:t>
            </w:r>
          </w:p>
        </w:tc>
      </w:tr>
      <w:tr w:rsidR="001777F1" w:rsidRPr="00BD5BB8" w:rsidTr="00561825">
        <w:trPr>
          <w:trHeight w:val="300"/>
        </w:trPr>
        <w:tc>
          <w:tcPr>
            <w:tcW w:w="2552" w:type="dxa"/>
            <w:tcBorders>
              <w:top w:val="nil"/>
              <w:left w:val="single" w:sz="4" w:space="0" w:color="auto"/>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left="72"/>
              <w:jc w:val="both"/>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 лица над 50 г.</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61 572</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29.6</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59 397</w:t>
            </w:r>
          </w:p>
        </w:tc>
        <w:tc>
          <w:tcPr>
            <w:tcW w:w="992"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1"/>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30.2</w:t>
            </w:r>
          </w:p>
        </w:tc>
        <w:tc>
          <w:tcPr>
            <w:tcW w:w="1276"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-2 175</w:t>
            </w:r>
          </w:p>
        </w:tc>
        <w:tc>
          <w:tcPr>
            <w:tcW w:w="1134" w:type="dxa"/>
            <w:tcBorders>
              <w:top w:val="nil"/>
              <w:left w:val="nil"/>
              <w:bottom w:val="single" w:sz="4" w:space="0" w:color="auto"/>
              <w:right w:val="single" w:sz="4" w:space="0" w:color="auto"/>
            </w:tcBorders>
            <w:shd w:val="clear" w:color="000000" w:fill="FFFFFF"/>
            <w:vAlign w:val="center"/>
            <w:hideMark/>
          </w:tcPr>
          <w:p w:rsidR="001777F1" w:rsidRPr="00BD5BB8" w:rsidRDefault="001777F1" w:rsidP="001777F1">
            <w:pPr>
              <w:spacing w:after="0" w:line="240" w:lineRule="auto"/>
              <w:ind w:firstLine="72"/>
              <w:jc w:val="center"/>
              <w:rPr>
                <w:rFonts w:ascii="Times New Roman" w:eastAsia="Times New Roman" w:hAnsi="Times New Roman" w:cs="Times New Roman"/>
                <w:sz w:val="20"/>
                <w:szCs w:val="20"/>
                <w:lang w:eastAsia="bg-BG"/>
              </w:rPr>
            </w:pPr>
            <w:r w:rsidRPr="00BD5BB8">
              <w:rPr>
                <w:rFonts w:ascii="Times New Roman" w:eastAsia="Times New Roman" w:hAnsi="Times New Roman" w:cs="Times New Roman"/>
                <w:sz w:val="20"/>
                <w:szCs w:val="20"/>
                <w:lang w:eastAsia="bg-BG"/>
              </w:rPr>
              <w:t>-3.5</w:t>
            </w:r>
          </w:p>
        </w:tc>
      </w:tr>
    </w:tbl>
    <w:p w:rsidR="001777F1" w:rsidRPr="00BD5BB8" w:rsidRDefault="001777F1" w:rsidP="001777F1">
      <w:pPr>
        <w:widowControl w:val="0"/>
        <w:autoSpaceDE w:val="0"/>
        <w:autoSpaceDN w:val="0"/>
        <w:spacing w:after="0" w:line="240" w:lineRule="auto"/>
        <w:ind w:firstLine="142"/>
        <w:jc w:val="both"/>
        <w:rPr>
          <w:rFonts w:ascii="Times New Roman" w:eastAsia="Times New Roman" w:hAnsi="Times New Roman" w:cs="Times New Roman"/>
          <w:sz w:val="18"/>
          <w:szCs w:val="18"/>
        </w:rPr>
      </w:pPr>
      <w:r w:rsidRPr="00BD5BB8">
        <w:rPr>
          <w:rFonts w:ascii="Times New Roman" w:eastAsia="Times New Roman" w:hAnsi="Times New Roman" w:cs="Times New Roman"/>
          <w:sz w:val="18"/>
          <w:szCs w:val="18"/>
        </w:rPr>
        <w:t>Източник на информацията: Агенция по заетостта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Българското законодателство, като отчита промените, които настъпват в структурата на заетостта, предвижда различни по своя характер мерки и стимули, които да отговорят на настъпилите демографски предизвикателства, за да стимулират работодателите да наемат и задържат на работа лица над 50-годишна възраст и такива, свързани с насърчаване и продължаване активната трудова дейност на лицата и прехода към пенсиониране.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През отчетния период са усъвършенствани посредническите услуги, предлагани на търсещите работа лица в посока на:</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С цел преход към бърза и устойчива заетост на безработните лица продължават да се предоставят посреднически услуги с прилагане на гъвкав, индивидуален, цялостен и интегриран подход. За усилване капацитета на АЗ са назначени служители на длъжностите: „трудов медиатор”, „кариерен консултант”, „трудов консултант”, „психолог” и „кейс-мениджър”, които осигуряват човешки ресурси за реализиране на нови или подобрени услуги за уязвимите групи на пазара на труда и работодателите;</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Услугите, позволяващи бърз преход към устойчива заетост, включват развитие на умения за избор на професия, търсене на работа, представяне пред работодател, създаване на собствен кариерен план от безработното лице. Всички услуги, насочени към повишаване уменията и компетентностите за заетост на безработните лица са част от </w:t>
      </w:r>
      <w:r w:rsidRPr="00BD5BB8">
        <w:rPr>
          <w:rFonts w:ascii="Times New Roman" w:eastAsia="Times New Roman" w:hAnsi="Times New Roman" w:cs="Times New Roman"/>
          <w:b/>
          <w:sz w:val="24"/>
          <w:szCs w:val="24"/>
        </w:rPr>
        <w:t>индивидуалния план за действие (ИПД)</w:t>
      </w:r>
      <w:r w:rsidRPr="00BD5BB8">
        <w:rPr>
          <w:rFonts w:ascii="Times New Roman" w:eastAsia="Times New Roman" w:hAnsi="Times New Roman" w:cs="Times New Roman"/>
          <w:sz w:val="24"/>
          <w:szCs w:val="24"/>
        </w:rPr>
        <w:t xml:space="preserve"> на безработните лица.</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Усъвършенстват се услугите за професионално ориентиране и индивидуално консултиране, така че да се адаптират към потребностите на по-възрастните лица.</w:t>
      </w:r>
      <w:r w:rsidRPr="00BD5BB8">
        <w:rPr>
          <w:rFonts w:ascii="Times New Roman" w:eastAsia="Times New Roman" w:hAnsi="Times New Roman" w:cs="Times New Roman"/>
          <w:b/>
          <w:sz w:val="24"/>
          <w:szCs w:val="24"/>
        </w:rPr>
        <w:t xml:space="preserve"> В десетте Кариерни центъра</w:t>
      </w:r>
      <w:r w:rsidRPr="00BD5BB8">
        <w:rPr>
          <w:rFonts w:ascii="Times New Roman" w:eastAsia="Times New Roman" w:hAnsi="Times New Roman" w:cs="Times New Roman"/>
          <w:sz w:val="24"/>
          <w:szCs w:val="24"/>
        </w:rPr>
        <w:t xml:space="preserve">, функциониращи към ДРСЗ и към централната администрация на Агенция по заетостта, се предоставя информация за пазара на труда и възможности за професионалната реализация на заети и безработни лица, подпомага се планирането и управлението на кариерата и проучване на възможностите за обучение. В тях се осъществява индивидуално консултиране, групово кариерно ориентиране, срещи с работодатели, на които са представят услугите, които заетите лица могат да ползват в ДБТ и Кариерните центрове. </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sz w:val="24"/>
          <w:szCs w:val="24"/>
        </w:rPr>
        <w:t xml:space="preserve">Провеждат се специализирани </w:t>
      </w:r>
      <w:r w:rsidRPr="00BD5BB8">
        <w:rPr>
          <w:rFonts w:ascii="Times New Roman" w:eastAsia="Times New Roman" w:hAnsi="Times New Roman" w:cs="Times New Roman"/>
          <w:b/>
          <w:sz w:val="24"/>
          <w:szCs w:val="24"/>
        </w:rPr>
        <w:t xml:space="preserve">трудови борси </w:t>
      </w:r>
      <w:r w:rsidRPr="00BD5BB8">
        <w:rPr>
          <w:rFonts w:ascii="Times New Roman" w:eastAsia="Times New Roman" w:hAnsi="Times New Roman" w:cs="Times New Roman"/>
          <w:sz w:val="24"/>
          <w:szCs w:val="24"/>
        </w:rPr>
        <w:t>за лица от уязвими групи, вкл. над 50 г. Чрез трудовите борси се осигурява директен контакт и пряко договаряне между търсещите работа лица и работодателите. За 2018 г. са проведени 112 трудови борси;</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Ателиетата за търсене на работа</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sz w:val="24"/>
          <w:szCs w:val="24"/>
        </w:rPr>
        <w:t>(АТР)</w:t>
      </w:r>
      <w:r w:rsidRPr="00BD5BB8">
        <w:rPr>
          <w:rFonts w:ascii="Times New Roman" w:eastAsia="Times New Roman" w:hAnsi="Times New Roman" w:cs="Times New Roman"/>
          <w:sz w:val="24"/>
          <w:szCs w:val="24"/>
        </w:rPr>
        <w:t xml:space="preserve"> са полезна и добре приета от клиентите услуга, тъй като темите са разнообразни и </w:t>
      </w:r>
      <w:r w:rsidRPr="00BD5BB8">
        <w:rPr>
          <w:rFonts w:ascii="Times New Roman" w:eastAsia="Times New Roman" w:hAnsi="Times New Roman" w:cs="Times New Roman"/>
          <w:color w:val="000000"/>
          <w:sz w:val="24"/>
          <w:szCs w:val="24"/>
        </w:rPr>
        <w:t xml:space="preserve">относими, както към реализацията им на пазара на труда, така също и към въпроси, засягащи личностното им усъвършенстване. </w:t>
      </w:r>
      <w:r w:rsidRPr="00BD5BB8">
        <w:rPr>
          <w:rFonts w:ascii="Times New Roman" w:eastAsia="Times New Roman" w:hAnsi="Times New Roman" w:cs="Times New Roman"/>
          <w:sz w:val="24"/>
          <w:szCs w:val="24"/>
        </w:rPr>
        <w:t xml:space="preserve">Участието в АТР съдейства за изграждане на адекватна самооценка сред търсещите работа лица и осезаемо увеличава шансовете им за постигане на </w:t>
      </w:r>
      <w:r w:rsidRPr="00BD5BB8">
        <w:rPr>
          <w:rFonts w:ascii="Times New Roman" w:eastAsia="Times New Roman" w:hAnsi="Times New Roman" w:cs="Times New Roman"/>
          <w:sz w:val="24"/>
          <w:szCs w:val="24"/>
        </w:rPr>
        <w:lastRenderedPageBreak/>
        <w:t>заетост. В АТР за подобряване на уменията си или за придобиване на нови такива, в подходящи теми, се включват и лица над 50-годишна възраст.</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През 2018 г. са разработени 4 нови, подобрени са 5 от предлаганите досега услуги и са създадени 7 стандартизирани пакети от услуги за уязвимите групи на пазара на труда, чието пилотното прилагане стартира през последното тримесечие на годината. Новите услуги, които са подходящи за лицата над 50-годишна възраст, са: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sz w:val="24"/>
          <w:szCs w:val="24"/>
        </w:rPr>
        <w:t>- „Консултация и менторство след започване на работа”,</w:t>
      </w:r>
      <w:r w:rsidRPr="00BD5BB8">
        <w:rPr>
          <w:rFonts w:ascii="Times New Roman" w:eastAsia="Times New Roman" w:hAnsi="Times New Roman" w:cs="Times New Roman"/>
          <w:sz w:val="24"/>
          <w:szCs w:val="24"/>
        </w:rPr>
        <w:t xml:space="preserve"> насочена към уязвимите групи на пазара на труда, при които най-рискови са първите няколко месеца след започване на работа, като се консултират освен лицата, така и работодателите за осигуряване на устойчива заетост;</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sz w:val="24"/>
          <w:szCs w:val="24"/>
        </w:rPr>
        <w:t>- „Мобилно бюро по труда”,</w:t>
      </w:r>
      <w:r w:rsidRPr="00BD5BB8">
        <w:rPr>
          <w:rFonts w:ascii="Times New Roman" w:eastAsia="Times New Roman" w:hAnsi="Times New Roman" w:cs="Times New Roman"/>
          <w:sz w:val="24"/>
          <w:szCs w:val="24"/>
        </w:rPr>
        <w:t xml:space="preserve"> насочена към безработни и икономически неактивни лица и работодатели от малки населени места, за повишаване възможностите за среща на търсенето и предлагането на пазара на труда и за намаляване на дела на обезкуражените лица чрез качествена и комплексна услуга на място (информиране за възможностите, предоставяни от ДБТ за намиране на персонал и осигуряване на заетост; мотивиране на неактивните лица; регистрация; предоставяне на трудово посредничество);</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sz w:val="24"/>
          <w:szCs w:val="24"/>
        </w:rPr>
        <w:t>- „Семеен трудов консултант”,</w:t>
      </w:r>
      <w:r w:rsidRPr="00BD5BB8">
        <w:rPr>
          <w:rFonts w:ascii="Times New Roman" w:eastAsia="Times New Roman" w:hAnsi="Times New Roman" w:cs="Times New Roman"/>
          <w:sz w:val="24"/>
          <w:szCs w:val="24"/>
        </w:rPr>
        <w:t xml:space="preserve"> насочена към безработни лица от уязвимите групи и техните семейства, за които има риск от изпадане в бедност, като в рамките на услугата членовете на семейството се информират и консултират за възможностите предоставяни от ДБТ;</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Освен на новите услуги, през 2018 г. стартира прилагането на 5 подобрени съществуващи услуги - Ателиета за търсене на работа; Информиране, консултиране, мотивиране; Насочване и подпомагане за включване в професионално обучение и за усвояване на ключови компетентности; Стажуване, чиракуване, обучение по време на работа, практика по време на учене; Провеждане на трудови борси, Ден на работодателя и други информационни събития за търсещи работа лица, неактивни лица и работодатели, както и на стандартизирани пакети от услуги за уязвимите групи на пазара на труда, съобразно техните специфични характеристики и нужди.</w:t>
      </w:r>
    </w:p>
    <w:p w:rsidR="001777F1" w:rsidRPr="00BD5BB8" w:rsidRDefault="001777F1" w:rsidP="00E7186B">
      <w:pPr>
        <w:widowControl w:val="0"/>
        <w:numPr>
          <w:ilvl w:val="0"/>
          <w:numId w:val="1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За повишаване информираността и пригодността за заетост на търсещите работа лица през 2018 г., в 559 отдалечени населени места функционират изнесени работни места (ИРМ), за предоставяне от трудовите посредници на услуги на място на ТРЛ, вкл. за активиране, мотивиране и насочване към подходящи работни места на безработните лица.</w:t>
      </w:r>
    </w:p>
    <w:p w:rsidR="001777F1" w:rsidRPr="00BD5BB8" w:rsidRDefault="001777F1" w:rsidP="001777F1">
      <w:pPr>
        <w:widowControl w:val="0"/>
        <w:autoSpaceDE w:val="0"/>
        <w:autoSpaceDN w:val="0"/>
        <w:spacing w:after="0" w:line="240" w:lineRule="auto"/>
        <w:jc w:val="both"/>
        <w:rPr>
          <w:rFonts w:ascii="Times New Roman" w:eastAsia="Times New Roman" w:hAnsi="Times New Roman" w:cs="Times New Roman"/>
          <w:sz w:val="24"/>
          <w:szCs w:val="24"/>
        </w:rPr>
      </w:pPr>
    </w:p>
    <w:p w:rsidR="001777F1" w:rsidRPr="00BD5BB8" w:rsidRDefault="001777F1" w:rsidP="001777F1">
      <w:pPr>
        <w:widowControl w:val="0"/>
        <w:autoSpaceDE w:val="0"/>
        <w:autoSpaceDN w:val="0"/>
        <w:spacing w:after="0" w:line="240" w:lineRule="auto"/>
        <w:jc w:val="center"/>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Активна политика на пазара на труда, провеждана от Агенция по заетостта през периода 2017 г. – 2018 г., финансирана от ДБ и ЕСФ</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Средствата от държавния бюджет се изразходват за програми и мерки за обучение на възрастни и за професионално ориентиране, програми и мерки за запазване и за насърчаване на заетостта, програми и мерки за насърчаване на безработните към самостоятелна заетост, защита на вътрешния пазар на труда и за изпълнение на международни договори за обмен на работна сила, по които Република България е страна, изследване и прогнозиране на пазара на труда, както и за набирането, обработката и разпространението на информация за пазара на труда и оценка на ефекта от прилагането на мерките и програмите на активната политика и др.</w:t>
      </w:r>
    </w:p>
    <w:p w:rsidR="000D51A2" w:rsidRDefault="000D51A2"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432E1A" w:rsidRPr="00BD5BB8" w:rsidRDefault="00432E1A"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1777F1">
      <w:pPr>
        <w:widowControl w:val="0"/>
        <w:pBdr>
          <w:top w:val="single" w:sz="4" w:space="1" w:color="auto"/>
          <w:left w:val="single" w:sz="4" w:space="4" w:color="auto"/>
          <w:bottom w:val="single" w:sz="4" w:space="1" w:color="auto"/>
          <w:right w:val="single" w:sz="4" w:space="4" w:color="auto"/>
        </w:pBdr>
        <w:autoSpaceDE w:val="0"/>
        <w:autoSpaceDN w:val="0"/>
        <w:spacing w:after="0" w:line="240" w:lineRule="auto"/>
        <w:ind w:firstLine="709"/>
        <w:jc w:val="both"/>
        <w:rPr>
          <w:rFonts w:ascii="Times New Roman" w:eastAsia="Times New Roman" w:hAnsi="Times New Roman" w:cs="Times New Roman"/>
          <w:b/>
          <w:color w:val="FF0000"/>
          <w:sz w:val="24"/>
          <w:szCs w:val="24"/>
        </w:rPr>
      </w:pPr>
      <w:r w:rsidRPr="00BD5BB8">
        <w:rPr>
          <w:rFonts w:ascii="Times New Roman" w:eastAsia="Times New Roman" w:hAnsi="Times New Roman" w:cs="Times New Roman"/>
          <w:sz w:val="24"/>
          <w:szCs w:val="24"/>
        </w:rPr>
        <w:lastRenderedPageBreak/>
        <w:t xml:space="preserve">През периода 2017 г. – 2018 г. </w:t>
      </w:r>
      <w:r w:rsidRPr="00BD5BB8">
        <w:rPr>
          <w:rFonts w:ascii="Times New Roman" w:eastAsia="Times New Roman" w:hAnsi="Times New Roman" w:cs="Times New Roman"/>
          <w:b/>
          <w:sz w:val="24"/>
          <w:szCs w:val="24"/>
        </w:rPr>
        <w:t>общият брой на включените в обучение и заетост безработни и заети лица</w:t>
      </w:r>
      <w:r w:rsidRPr="00BD5BB8">
        <w:rPr>
          <w:rFonts w:ascii="Times New Roman" w:eastAsia="Times New Roman" w:hAnsi="Times New Roman" w:cs="Times New Roman"/>
          <w:sz w:val="24"/>
          <w:szCs w:val="24"/>
        </w:rPr>
        <w:t xml:space="preserve"> по програми и насърчителни мерки, финансирани със средства от Държавния бюджет и по схеми на ОП РЧР, е </w:t>
      </w:r>
      <w:r w:rsidRPr="00BD5BB8">
        <w:rPr>
          <w:rFonts w:ascii="Times New Roman" w:eastAsia="Times New Roman" w:hAnsi="Times New Roman" w:cs="Times New Roman"/>
          <w:b/>
          <w:sz w:val="24"/>
          <w:szCs w:val="24"/>
        </w:rPr>
        <w:t>139 849 лица.</w:t>
      </w:r>
      <w:r w:rsidRPr="00BD5BB8">
        <w:rPr>
          <w:rFonts w:ascii="Times New Roman" w:eastAsia="Times New Roman" w:hAnsi="Times New Roman" w:cs="Times New Roman"/>
          <w:sz w:val="24"/>
          <w:szCs w:val="24"/>
        </w:rPr>
        <w:t xml:space="preserve"> От тях общият брой на включените в заетост по програми и насърчителни мерки от ЗНЗ лица </w:t>
      </w:r>
      <w:r w:rsidRPr="00BD5BB8">
        <w:rPr>
          <w:rFonts w:ascii="Times New Roman" w:eastAsia="Times New Roman" w:hAnsi="Times New Roman" w:cs="Times New Roman"/>
          <w:b/>
          <w:sz w:val="24"/>
          <w:szCs w:val="24"/>
        </w:rPr>
        <w:t>над 50 – годишна възраст, финансирани от ДБ и по схеми на ОП РЧР е 34 192, като 16 081 са с изцяло държавно финансиране, а 18 111 – с източник на финансиране ЕСФ и ДБ.</w:t>
      </w:r>
      <w:r w:rsidRPr="00BD5BB8">
        <w:rPr>
          <w:rFonts w:ascii="Times New Roman" w:eastAsia="Times New Roman" w:hAnsi="Times New Roman" w:cs="Times New Roman"/>
          <w:sz w:val="24"/>
          <w:szCs w:val="24"/>
        </w:rPr>
        <w:t xml:space="preserve"> Някои от програмите, като проектите на социалните партньори, например, предлагат, както обучение, така и последваща субсидирана и несубсидирана заетост.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По години резултатите са следните:</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За 2017 г.:</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Общият брой</w:t>
      </w:r>
      <w:r w:rsidRPr="00BD5BB8">
        <w:rPr>
          <w:rFonts w:ascii="Times New Roman" w:eastAsia="Times New Roman" w:hAnsi="Times New Roman" w:cs="Times New Roman"/>
          <w:sz w:val="24"/>
          <w:szCs w:val="24"/>
        </w:rPr>
        <w:t xml:space="preserve"> на включените в обучение и в заетост безработни и заети лица - </w:t>
      </w:r>
      <w:r w:rsidRPr="00BD5BB8">
        <w:rPr>
          <w:rFonts w:ascii="Times New Roman" w:eastAsia="Times New Roman" w:hAnsi="Times New Roman" w:cs="Times New Roman"/>
          <w:b/>
          <w:sz w:val="24"/>
          <w:szCs w:val="24"/>
        </w:rPr>
        <w:t>78 837</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sz w:val="24"/>
          <w:szCs w:val="24"/>
        </w:rPr>
        <w:t>в т.ч. в заетост 43 060 и в обучение 35 777 лица</w:t>
      </w:r>
      <w:r w:rsidRPr="00BD5BB8">
        <w:rPr>
          <w:rFonts w:ascii="Times New Roman" w:eastAsia="Times New Roman" w:hAnsi="Times New Roman" w:cs="Times New Roman"/>
          <w:sz w:val="24"/>
          <w:szCs w:val="24"/>
        </w:rPr>
        <w:t>;</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sz w:val="24"/>
          <w:szCs w:val="24"/>
        </w:rPr>
        <w:t xml:space="preserve">по програми и насърчителни мерки за обучение и заетост, финансирани от ДБ, е субсидирана заетостта на общо </w:t>
      </w:r>
      <w:r w:rsidRPr="00BD5BB8">
        <w:rPr>
          <w:rFonts w:ascii="Times New Roman" w:eastAsia="Times New Roman" w:hAnsi="Times New Roman" w:cs="Times New Roman"/>
          <w:b/>
          <w:sz w:val="24"/>
          <w:szCs w:val="24"/>
        </w:rPr>
        <w:t>28 264 лица</w:t>
      </w:r>
      <w:r w:rsidRPr="00BD5BB8">
        <w:rPr>
          <w:rFonts w:ascii="Times New Roman" w:eastAsia="Times New Roman" w:hAnsi="Times New Roman" w:cs="Times New Roman"/>
          <w:sz w:val="24"/>
          <w:szCs w:val="24"/>
        </w:rPr>
        <w:t xml:space="preserve">, от тях за включване в нова заетост на 16 929 лица и в обучение са включени </w:t>
      </w:r>
      <w:r w:rsidRPr="00BD5BB8">
        <w:rPr>
          <w:rFonts w:ascii="Times New Roman" w:eastAsia="Times New Roman" w:hAnsi="Times New Roman" w:cs="Times New Roman"/>
          <w:b/>
          <w:sz w:val="24"/>
          <w:szCs w:val="24"/>
        </w:rPr>
        <w:t>10 925</w:t>
      </w:r>
      <w:r w:rsidRPr="00BD5BB8">
        <w:rPr>
          <w:rFonts w:ascii="Times New Roman" w:eastAsia="Times New Roman" w:hAnsi="Times New Roman" w:cs="Times New Roman"/>
          <w:sz w:val="24"/>
          <w:szCs w:val="24"/>
        </w:rPr>
        <w:t xml:space="preserve"> лица;</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sz w:val="24"/>
          <w:szCs w:val="24"/>
        </w:rPr>
        <w:t xml:space="preserve">по схемите на ОП РЧР, с източник на финансиране ЕСФ и ДБ – в заетост са включени </w:t>
      </w:r>
      <w:r w:rsidRPr="00BD5BB8">
        <w:rPr>
          <w:rFonts w:ascii="Times New Roman" w:eastAsia="Times New Roman" w:hAnsi="Times New Roman" w:cs="Times New Roman"/>
          <w:b/>
          <w:sz w:val="24"/>
          <w:szCs w:val="24"/>
        </w:rPr>
        <w:t>14 796</w:t>
      </w:r>
      <w:r w:rsidRPr="00BD5BB8">
        <w:rPr>
          <w:rFonts w:ascii="Times New Roman" w:eastAsia="Times New Roman" w:hAnsi="Times New Roman" w:cs="Times New Roman"/>
          <w:sz w:val="24"/>
          <w:szCs w:val="24"/>
        </w:rPr>
        <w:t xml:space="preserve"> и в обучение </w:t>
      </w:r>
      <w:r w:rsidRPr="00BD5BB8">
        <w:rPr>
          <w:rFonts w:ascii="Times New Roman" w:eastAsia="Times New Roman" w:hAnsi="Times New Roman" w:cs="Times New Roman"/>
          <w:b/>
          <w:sz w:val="24"/>
          <w:szCs w:val="24"/>
        </w:rPr>
        <w:t>24 852 лица</w:t>
      </w:r>
      <w:r w:rsidRPr="00BD5BB8">
        <w:rPr>
          <w:rFonts w:ascii="Times New Roman" w:eastAsia="Times New Roman" w:hAnsi="Times New Roman" w:cs="Times New Roman"/>
          <w:sz w:val="24"/>
          <w:szCs w:val="24"/>
        </w:rPr>
        <w:t xml:space="preserve">; </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sz w:val="24"/>
          <w:szCs w:val="24"/>
        </w:rPr>
        <w:t xml:space="preserve">Броят на включените </w:t>
      </w:r>
      <w:r w:rsidRPr="00BD5BB8">
        <w:rPr>
          <w:rFonts w:ascii="Times New Roman" w:eastAsia="Times New Roman" w:hAnsi="Times New Roman" w:cs="Times New Roman"/>
          <w:b/>
          <w:sz w:val="24"/>
          <w:szCs w:val="24"/>
        </w:rPr>
        <w:t xml:space="preserve">лица над 50 – годишна възраст </w:t>
      </w:r>
      <w:r w:rsidRPr="00BD5BB8">
        <w:rPr>
          <w:rFonts w:ascii="Times New Roman" w:eastAsia="Times New Roman" w:hAnsi="Times New Roman" w:cs="Times New Roman"/>
          <w:sz w:val="24"/>
          <w:szCs w:val="24"/>
        </w:rPr>
        <w:t xml:space="preserve">в заетост и обучение по програми и насърчителни мерки от ЗНЗ и по схеми на ОП РЧР </w:t>
      </w:r>
      <w:r w:rsidRPr="00BD5BB8">
        <w:rPr>
          <w:rFonts w:ascii="Times New Roman" w:eastAsia="Times New Roman" w:hAnsi="Times New Roman" w:cs="Times New Roman"/>
          <w:b/>
          <w:sz w:val="24"/>
          <w:szCs w:val="24"/>
        </w:rPr>
        <w:t>е 15 603, като 8 459 лица са с изцяло държавно финансиране, а 7 144 лица са с източник на финансиране ЕСФ и ДБ.</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За 2018 г.:</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sz w:val="24"/>
          <w:szCs w:val="24"/>
        </w:rPr>
        <w:t>Общият брой</w:t>
      </w:r>
      <w:r w:rsidRPr="00BD5BB8">
        <w:rPr>
          <w:rFonts w:ascii="Times New Roman" w:eastAsia="Times New Roman" w:hAnsi="Times New Roman" w:cs="Times New Roman"/>
          <w:sz w:val="24"/>
          <w:szCs w:val="24"/>
        </w:rPr>
        <w:t xml:space="preserve"> на включените в обучение и в заетост безработни и заети лица </w:t>
      </w:r>
      <w:r w:rsidRPr="00BD5BB8">
        <w:rPr>
          <w:rFonts w:ascii="Times New Roman" w:eastAsia="Times New Roman" w:hAnsi="Times New Roman" w:cs="Times New Roman"/>
          <w:b/>
          <w:sz w:val="24"/>
          <w:szCs w:val="24"/>
        </w:rPr>
        <w:t>през</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sz w:val="24"/>
          <w:szCs w:val="24"/>
        </w:rPr>
        <w:t>2018 г. възлиза на 61 012</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sz w:val="24"/>
          <w:szCs w:val="24"/>
        </w:rPr>
        <w:t>в т.ч. в заетост 44 006 и в обучение 17 006 лица</w:t>
      </w:r>
      <w:r w:rsidRPr="00BD5BB8">
        <w:rPr>
          <w:rFonts w:ascii="Times New Roman" w:eastAsia="Times New Roman" w:hAnsi="Times New Roman" w:cs="Times New Roman"/>
          <w:sz w:val="24"/>
          <w:szCs w:val="24"/>
        </w:rPr>
        <w:t>;</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по програми и насърчителни мерки за обучение и заетост, финансирани от ДБ е субсидирана заетостта на общо 21 297 лица, от тях за включване в нова заетост на 14 730 лица и в обучение са включени 10 533 лица;</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по схемите на ОП РЧР, с източник на финансиране ЕСФ и ДБ – в заетост са включени 22 709 и в обучение 6 473 лица;</w:t>
      </w:r>
    </w:p>
    <w:p w:rsidR="001777F1" w:rsidRPr="00BD5BB8" w:rsidRDefault="001777F1" w:rsidP="00E7186B">
      <w:pPr>
        <w:widowControl w:val="0"/>
        <w:numPr>
          <w:ilvl w:val="0"/>
          <w:numId w:val="26"/>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Броят на включените </w:t>
      </w:r>
      <w:r w:rsidRPr="00BD5BB8">
        <w:rPr>
          <w:rFonts w:ascii="Times New Roman" w:eastAsia="Times New Roman" w:hAnsi="Times New Roman" w:cs="Times New Roman"/>
          <w:b/>
          <w:sz w:val="24"/>
          <w:szCs w:val="24"/>
        </w:rPr>
        <w:t xml:space="preserve">лица над 50 – годишна възраст </w:t>
      </w:r>
      <w:r w:rsidRPr="00BD5BB8">
        <w:rPr>
          <w:rFonts w:ascii="Times New Roman" w:eastAsia="Times New Roman" w:hAnsi="Times New Roman" w:cs="Times New Roman"/>
          <w:sz w:val="24"/>
          <w:szCs w:val="24"/>
        </w:rPr>
        <w:t xml:space="preserve">в заетост и обучение по програми и насърчителни мерки от ЗНЗ и по схеми на ОП РЧР </w:t>
      </w:r>
      <w:r w:rsidRPr="00BD5BB8">
        <w:rPr>
          <w:rFonts w:ascii="Times New Roman" w:eastAsia="Times New Roman" w:hAnsi="Times New Roman" w:cs="Times New Roman"/>
          <w:b/>
          <w:sz w:val="24"/>
          <w:szCs w:val="24"/>
        </w:rPr>
        <w:t>е 18 589</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sz w:val="24"/>
          <w:szCs w:val="24"/>
        </w:rPr>
        <w:t>като 7 622 лица са с изцяло държавно финансиране, а 10 967 лица са с източник на финансиране ЕСФ и ДБ.</w:t>
      </w:r>
    </w:p>
    <w:p w:rsidR="001777F1" w:rsidRPr="00BD5BB8" w:rsidRDefault="001777F1" w:rsidP="001777F1">
      <w:pPr>
        <w:widowControl w:val="0"/>
        <w:autoSpaceDE w:val="0"/>
        <w:autoSpaceDN w:val="0"/>
        <w:spacing w:after="0" w:line="240" w:lineRule="auto"/>
        <w:ind w:firstLine="709"/>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 xml:space="preserve">Включване в програми, проекти и мерки за обучение за придобиване на знания и умения, които са търсени на пазара на труда.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Активната политика на пазара на труда, провеждана от Агенция по заетостта, включва програми и насърчителни мерки по Закона за насърчаване на заетостта, финансирани със средства от Държавния бюджет, вкл. квалификационно обучение по чл. 63 от ЗНЗ, и схемите на Оперативна програма „Развитие на човешките ресурси”, съфинансирана от Европейския социален фонд. Изброените по-долу мерки са съобразно действащата нормативна уредба в сферата на заетостта – Закон за насърчаване на заетостта, Правилник за прилагане на ЗНЗ и Устройствен правилник на Агенцията по заетостта.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Възрастните хора могат да участват без ограничения във всички проекти, програми и мерки за обучение и заетост, реализирани от Агенцията по заетостта, при условие, че отговарят на изискванията за включване в съответния проект, програма или </w:t>
      </w:r>
      <w:r w:rsidRPr="00BD5BB8">
        <w:rPr>
          <w:rFonts w:ascii="Times New Roman" w:eastAsia="Times New Roman" w:hAnsi="Times New Roman" w:cs="Times New Roman"/>
          <w:sz w:val="24"/>
          <w:szCs w:val="24"/>
        </w:rPr>
        <w:lastRenderedPageBreak/>
        <w:t>насърчителна мярка.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3"/>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i/>
          <w:sz w:val="24"/>
          <w:szCs w:val="24"/>
        </w:rPr>
        <w:t>Националната програма „Помощ за пенсиониране”</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sz w:val="24"/>
          <w:szCs w:val="24"/>
        </w:rPr>
        <w:t>осигурява подкрепа при прехода от безработица към работа при по-възрастните и пенсиониране. Целевата група обхваща безработни лица над 58 г. Според спецификата на дейността лицата се наемат на пълно или непълно работно време. Периодът на субсидиране на заетостта е от 3 до 24 месеца. През 2018 г. се прилага диференциран подход по отношение на субсидираното трудово възнаграждение – 550 лв. за лица с висше образование, наети на длъжности, които изискват завършена степен на висше образование съгласно НКПД 2011 г., а за останалите – в размер на минимална работна заплата за 2018 г., съответно почасово трудово възнаграждение – 3,31 лв./3,07 лв. Осигурени са средства и за допълнителни плащания по трудовото и осигурителното законодателство за сметка на работодателя.</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по Програмата са </w:t>
      </w:r>
      <w:r w:rsidRPr="00BD5BB8">
        <w:rPr>
          <w:rFonts w:ascii="Times New Roman" w:eastAsia="Times New Roman" w:hAnsi="Times New Roman" w:cs="Times New Roman"/>
          <w:b/>
          <w:sz w:val="24"/>
          <w:szCs w:val="24"/>
        </w:rPr>
        <w:t>включени общо в заетост 933 лица</w:t>
      </w:r>
      <w:r w:rsidRPr="00BD5BB8">
        <w:rPr>
          <w:rFonts w:ascii="Times New Roman" w:eastAsia="Times New Roman" w:hAnsi="Times New Roman" w:cs="Times New Roman"/>
          <w:sz w:val="24"/>
          <w:szCs w:val="24"/>
        </w:rPr>
        <w:t>,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525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408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4"/>
        </w:numPr>
        <w:autoSpaceDE w:val="0"/>
        <w:autoSpaceDN w:val="0"/>
        <w:adjustRightInd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i/>
          <w:sz w:val="24"/>
          <w:szCs w:val="24"/>
        </w:rPr>
        <w:t>Регионалните програми за заетост</w:t>
      </w:r>
      <w:r w:rsidRPr="00BD5BB8">
        <w:rPr>
          <w:rFonts w:ascii="Times New Roman" w:eastAsia="Times New Roman" w:hAnsi="Times New Roman" w:cs="Times New Roman"/>
          <w:sz w:val="24"/>
          <w:szCs w:val="24"/>
        </w:rPr>
        <w:t xml:space="preserve"> предоставят достъп до заетост на безработни лица в неравностойно положение на пазара на труда, вкл. за лица над 50-годишна възраст.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Утвърдените и изпълнени регионални програми за заетост са съобразени с приоритетите в политиката за насърчаване на заетостта и потребностите на регионалните пазари на труда. Реализирани са разнообразни дейности с местно значение, като: поддържане и опазване на общинската и държавната собственост - училища, детски градини, читалища; поддържане на пътища; спомагателни дейности в пенсионерски клубове, помощ в обществените трапезарии, социален патронаж и др. общополезни дейности. През 2017 г. и 2018 г. са реализирани по 28 регионални програми за заетост – по една за всяка област. Те са разработени на основата на проектни предложения на областните и общинските администрации и са одобрени от Комисиите по заетостта към Областните съвети за развитие. За отчетния период са финансирани разходите за труд на работодателите за срок не по-малко от 6 месеца.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регионални програми за обучение и заетост са </w:t>
      </w:r>
      <w:r w:rsidRPr="00BD5BB8">
        <w:rPr>
          <w:rFonts w:ascii="Times New Roman" w:eastAsia="Times New Roman" w:hAnsi="Times New Roman" w:cs="Times New Roman"/>
          <w:b/>
          <w:sz w:val="24"/>
          <w:szCs w:val="24"/>
        </w:rPr>
        <w:t>включени общо 2 206 безработни лица над 50 г.</w:t>
      </w:r>
      <w:r w:rsidRPr="00BD5BB8">
        <w:rPr>
          <w:rFonts w:ascii="Times New Roman" w:eastAsia="Times New Roman" w:hAnsi="Times New Roman" w:cs="Times New Roman"/>
          <w:sz w:val="24"/>
          <w:szCs w:val="24"/>
        </w:rPr>
        <w:t>,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961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1 245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 </w:t>
      </w:r>
    </w:p>
    <w:p w:rsidR="001777F1" w:rsidRPr="00BD5BB8" w:rsidRDefault="001777F1" w:rsidP="00E7186B">
      <w:pPr>
        <w:widowControl w:val="0"/>
        <w:numPr>
          <w:ilvl w:val="0"/>
          <w:numId w:val="15"/>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i/>
          <w:sz w:val="24"/>
          <w:szCs w:val="24"/>
        </w:rPr>
        <w:t>Националната програма „Асистенти на хора с увреждания” (НП „АХУ”)</w:t>
      </w:r>
      <w:r w:rsidRPr="00BD5BB8">
        <w:rPr>
          <w:rFonts w:ascii="Times New Roman" w:eastAsia="Times New Roman" w:hAnsi="Times New Roman" w:cs="Times New Roman"/>
          <w:sz w:val="24"/>
          <w:szCs w:val="24"/>
        </w:rPr>
        <w:t xml:space="preserve"> се реализира с цел предоставяне на грижа в семейна среда на хора с трайни увреждания или тежко болни самотни хора чрез осигуряване на заетост на безработни лица като лични асистенти. През 2017 г. Програмата е допълнена и развита с дейността „помощник-възпитател“ за подпомагане на физическото, социалното, емоционалното и интелектуалното развитие на деца с увреждания. Реализирана е и дейността „личен асистент” за осигуряване на заетост на безработни лица за облекчаване на положението на семействата, в които има човек с трайни увреждания, нуждаещ се от постоянни грижи. По Програмата се осигурява заетост на лицата при 5-часов работен ден, при почасово трудово възнаграждение за 2018 г. в размер на 3,07 лв.</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lastRenderedPageBreak/>
        <w:t xml:space="preserve">За периода 2017 г. – 2018 г. по Програмата са </w:t>
      </w:r>
      <w:r w:rsidRPr="00BD5BB8">
        <w:rPr>
          <w:rFonts w:ascii="Times New Roman" w:eastAsia="Times New Roman" w:hAnsi="Times New Roman" w:cs="Times New Roman"/>
          <w:b/>
          <w:sz w:val="24"/>
          <w:szCs w:val="24"/>
        </w:rPr>
        <w:t>включени общо в заетост 1 812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901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911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6"/>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b/>
          <w:i/>
          <w:sz w:val="24"/>
          <w:szCs w:val="24"/>
        </w:rPr>
        <w:t>Националната програма за заетост и обучение на хора с трайни увреждания</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sz w:val="24"/>
          <w:szCs w:val="24"/>
        </w:rPr>
        <w:t xml:space="preserve">осигурява заетост на безработни лица с трайни увреждания или лица, преминали успешно курс на лечение за зависимост към наркотични вещества в трудоспособна възраст, </w:t>
      </w:r>
      <w:r w:rsidRPr="00BD5BB8">
        <w:rPr>
          <w:rFonts w:ascii="Times New Roman" w:eastAsia="Times New Roman" w:hAnsi="Times New Roman" w:cs="Times New Roman"/>
          <w:b/>
          <w:sz w:val="24"/>
          <w:szCs w:val="24"/>
        </w:rPr>
        <w:t>вкл. хора над 50 г.,</w:t>
      </w:r>
      <w:r w:rsidRPr="00BD5BB8">
        <w:rPr>
          <w:rFonts w:ascii="Times New Roman" w:eastAsia="Times New Roman" w:hAnsi="Times New Roman" w:cs="Times New Roman"/>
          <w:sz w:val="24"/>
          <w:szCs w:val="24"/>
        </w:rPr>
        <w:t xml:space="preserve"> като предпоставка за преодоляване на социалната им изолация и за пълноценното им интегриране в обществото. Програмата е с максимален период на субсидиране на заетостта до 24 месеца. През 2018 г. по Програмата се прилага диференциран подход по отношение на субсидираното трудово възнаграждение – 550 лв. за лица с висше образование, наети на длъжности, които изискват завършена степен на висше образование съгласно НКПД 2011 г., а за останалите – в размер на минимална работна заплата, съответно почасово трудово възнаграждение – 3,31 лв./3,07 лв.</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по Програмата са </w:t>
      </w:r>
      <w:r w:rsidRPr="00BD5BB8">
        <w:rPr>
          <w:rFonts w:ascii="Times New Roman" w:eastAsia="Times New Roman" w:hAnsi="Times New Roman" w:cs="Times New Roman"/>
          <w:b/>
          <w:sz w:val="24"/>
          <w:szCs w:val="24"/>
        </w:rPr>
        <w:t>включени общо в заетост 642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355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287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7"/>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През отчетния период се реализира </w:t>
      </w:r>
      <w:r w:rsidRPr="00BD5BB8">
        <w:rPr>
          <w:rFonts w:ascii="Times New Roman" w:eastAsia="Times New Roman" w:hAnsi="Times New Roman" w:cs="Times New Roman"/>
          <w:b/>
          <w:i/>
          <w:sz w:val="24"/>
          <w:szCs w:val="24"/>
        </w:rPr>
        <w:t>Програма за обучение и заетост на продължително безработни лица</w:t>
      </w:r>
      <w:r w:rsidRPr="00BD5BB8">
        <w:rPr>
          <w:rFonts w:ascii="Times New Roman" w:eastAsia="Times New Roman" w:hAnsi="Times New Roman" w:cs="Times New Roman"/>
          <w:i/>
          <w:sz w:val="24"/>
          <w:szCs w:val="24"/>
        </w:rPr>
        <w:t>,</w:t>
      </w:r>
      <w:r w:rsidRPr="00BD5BB8">
        <w:rPr>
          <w:rFonts w:ascii="Times New Roman" w:eastAsia="Times New Roman" w:hAnsi="Times New Roman" w:cs="Times New Roman"/>
          <w:sz w:val="24"/>
          <w:szCs w:val="24"/>
        </w:rPr>
        <w:t xml:space="preserve"> насочена към осигуряване на заетост на продължително безработните лица, регистрирани в бюрата по труда. Програмата допринася за повишаване на пригодността за заетост на продължително безработни лица чрез включване в обучение и осигуряване на заетост на пълно или непълно работно време за срок до 12 месеца. Програмата се реализира на територията на страната, с предимство в региони с равнище на безработица над средното за страната. Включва два компонента: Компонент 1 – за работодатели от частния сектор и Компонент 2 – за работодатели от публичния сектор, който обхваща и дейности по наемане на безработни лица за работа в аварийни групи, </w:t>
      </w:r>
      <w:r w:rsidRPr="00BD5BB8">
        <w:rPr>
          <w:rFonts w:ascii="Times New Roman" w:eastAsia="Times New Roman" w:hAnsi="Times New Roman" w:cs="Times New Roman"/>
          <w:b/>
          <w:sz w:val="24"/>
          <w:szCs w:val="24"/>
        </w:rPr>
        <w:t>вкл. лица над 50 - годишна възраст.</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по Програмата са </w:t>
      </w:r>
      <w:r w:rsidRPr="00BD5BB8">
        <w:rPr>
          <w:rFonts w:ascii="Times New Roman" w:eastAsia="Times New Roman" w:hAnsi="Times New Roman" w:cs="Times New Roman"/>
          <w:b/>
          <w:sz w:val="24"/>
          <w:szCs w:val="24"/>
        </w:rPr>
        <w:t>включени общо в заетост 1 244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870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374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8"/>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MyriadPro-Regular" w:hAnsi="Times New Roman" w:cs="Times New Roman"/>
          <w:b/>
          <w:i/>
          <w:sz w:val="24"/>
          <w:szCs w:val="24"/>
          <w:lang w:eastAsia="bg-BG"/>
        </w:rPr>
        <w:t>Насърчителната мярка от Закона за насърчаване на заетостта (ЗНЗ) за безработни лица над 55-годишна възраст</w:t>
      </w:r>
      <w:r w:rsidRPr="00BD5BB8">
        <w:rPr>
          <w:rFonts w:ascii="Times New Roman" w:eastAsia="MyriadPro-Regular" w:hAnsi="Times New Roman" w:cs="Times New Roman"/>
          <w:i/>
          <w:sz w:val="24"/>
          <w:szCs w:val="24"/>
          <w:lang w:eastAsia="bg-BG"/>
        </w:rPr>
        <w:t xml:space="preserve"> </w:t>
      </w:r>
      <w:r w:rsidRPr="00BD5BB8">
        <w:rPr>
          <w:rFonts w:ascii="Times New Roman" w:eastAsia="MyriadPro-Regular" w:hAnsi="Times New Roman" w:cs="Times New Roman"/>
          <w:b/>
          <w:i/>
          <w:sz w:val="24"/>
          <w:szCs w:val="24"/>
          <w:lang w:eastAsia="bg-BG"/>
        </w:rPr>
        <w:t>(чл. 55а от ЗНЗ)</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sz w:val="24"/>
          <w:szCs w:val="24"/>
        </w:rPr>
        <w:t>се реализира в подкрепа на безработни лица в предпенсионна възраст. През 2018 г. са финансирани част от разходите на работодателите за трудово възнаграждение, допълнителни възнаграждения по трудовото и дължими вноски по осигурителното законодателство за период до 6 месеца. Субсидираната част от трудовото възнаграждение е в размер на 480 лв. за лицата с висше образование, наети на длъжности, за заемането на които минималното образователно и квалификационно ниво съгласно НКПД 2011 г., е определено като завършена степен на висше образование, а за останалите – в размер на 400 лв. Задължение на работодателя е да запази заетостта за допълнителен период, равен на периода на субсидиране.</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lastRenderedPageBreak/>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609 безработни лица</w:t>
      </w:r>
      <w:r w:rsidRPr="00BD5BB8">
        <w:rPr>
          <w:rFonts w:ascii="Times New Roman" w:eastAsia="Times New Roman" w:hAnsi="Times New Roman" w:cs="Times New Roman"/>
          <w:sz w:val="24"/>
          <w:szCs w:val="24"/>
        </w:rPr>
        <w:t xml:space="preserve"> над 55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319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290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9"/>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MyriadPro-Regular" w:hAnsi="Times New Roman" w:cs="Times New Roman"/>
          <w:sz w:val="24"/>
          <w:szCs w:val="24"/>
          <w:lang w:eastAsia="bg-BG"/>
        </w:rPr>
        <w:t>Безработните лица в предпенсионна възраст имат възможност да се възползват от условията на</w:t>
      </w:r>
      <w:r w:rsidRPr="00BD5BB8">
        <w:rPr>
          <w:rFonts w:ascii="Times New Roman" w:eastAsia="Times New Roman" w:hAnsi="Times New Roman" w:cs="Times New Roman"/>
          <w:b/>
          <w:bCs/>
          <w:sz w:val="24"/>
          <w:szCs w:val="24"/>
        </w:rPr>
        <w:t> </w:t>
      </w:r>
      <w:r w:rsidRPr="00BD5BB8">
        <w:rPr>
          <w:rFonts w:ascii="Times New Roman" w:eastAsia="Times New Roman" w:hAnsi="Times New Roman" w:cs="Times New Roman"/>
          <w:b/>
          <w:bCs/>
          <w:i/>
          <w:sz w:val="24"/>
          <w:szCs w:val="24"/>
        </w:rPr>
        <w:t>чл.</w:t>
      </w:r>
      <w:r w:rsidRPr="00BD5BB8">
        <w:rPr>
          <w:rFonts w:ascii="Times New Roman" w:eastAsia="Times New Roman" w:hAnsi="Times New Roman" w:cs="Times New Roman"/>
          <w:i/>
          <w:sz w:val="24"/>
          <w:szCs w:val="24"/>
        </w:rPr>
        <w:t> </w:t>
      </w:r>
      <w:r w:rsidRPr="00BD5BB8">
        <w:rPr>
          <w:rFonts w:ascii="Times New Roman" w:eastAsia="Times New Roman" w:hAnsi="Times New Roman" w:cs="Times New Roman"/>
          <w:b/>
          <w:bCs/>
          <w:i/>
          <w:sz w:val="24"/>
          <w:szCs w:val="24"/>
        </w:rPr>
        <w:t xml:space="preserve">50 от ЗНЗ – </w:t>
      </w:r>
      <w:r w:rsidRPr="00BD5BB8">
        <w:rPr>
          <w:rFonts w:ascii="Times New Roman" w:eastAsia="Times New Roman" w:hAnsi="Times New Roman" w:cs="Times New Roman"/>
          <w:bCs/>
          <w:i/>
          <w:sz w:val="24"/>
          <w:szCs w:val="24"/>
        </w:rPr>
        <w:t>Насърчаване</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на</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работодатели</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микропредприятия</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да</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разкриват</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работни</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места,</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като</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се</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субсидират</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първите</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5</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разкрити</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работни</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bCs/>
          <w:i/>
          <w:sz w:val="24"/>
          <w:szCs w:val="24"/>
        </w:rPr>
        <w:t>места.</w:t>
      </w:r>
      <w:r w:rsidRPr="00BD5BB8">
        <w:rPr>
          <w:rFonts w:ascii="Times New Roman" w:eastAsia="MyriadPro-Regular" w:hAnsi="Times New Roman" w:cs="Times New Roman"/>
          <w:sz w:val="24"/>
          <w:szCs w:val="24"/>
          <w:lang w:eastAsia="bg-BG"/>
        </w:rPr>
        <w:t xml:space="preserve"> </w:t>
      </w:r>
      <w:r w:rsidRPr="00BD5BB8">
        <w:rPr>
          <w:rFonts w:ascii="Times New Roman" w:eastAsia="Times New Roman" w:hAnsi="Times New Roman" w:cs="Times New Roman"/>
          <w:sz w:val="24"/>
          <w:szCs w:val="24"/>
        </w:rPr>
        <w:t>Мярката осигурява подкрепа за предприемачеството. През отчетния период със средства от ДБ са субсидирани първите 5 разкрити работни места в микропредприятия за период до 9 месеца. Финансирани са част от разходите за трудово възнаграждение в размер на 400 лв. през 2018 г. и допълнителни плащания по трудовото и осигурително законодателство.</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170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96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74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9"/>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По условията на </w:t>
      </w:r>
      <w:r w:rsidRPr="00BD5BB8">
        <w:rPr>
          <w:rFonts w:ascii="Times New Roman" w:eastAsia="Times New Roman" w:hAnsi="Times New Roman" w:cs="Times New Roman"/>
          <w:b/>
          <w:i/>
          <w:sz w:val="24"/>
          <w:szCs w:val="24"/>
        </w:rPr>
        <w:t>чл. 51, ал.1 от ЗНЗ</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sz w:val="24"/>
          <w:szCs w:val="24"/>
        </w:rPr>
        <w:t xml:space="preserve">– Насърчаване на работодателите да наемат безработни лица с непрекъснато подържана регистрация не по-малко от 6 месеца, безработни до 24 год., с основно и по-ниско образование и </w:t>
      </w:r>
      <w:r w:rsidRPr="00BD5BB8">
        <w:rPr>
          <w:rFonts w:ascii="Times New Roman" w:eastAsia="Times New Roman" w:hAnsi="Times New Roman" w:cs="Times New Roman"/>
          <w:b/>
          <w:sz w:val="24"/>
          <w:szCs w:val="24"/>
        </w:rPr>
        <w:t xml:space="preserve">над 50 год. </w:t>
      </w:r>
      <w:r w:rsidRPr="00BD5BB8">
        <w:rPr>
          <w:rFonts w:ascii="Times New Roman" w:eastAsia="Times New Roman" w:hAnsi="Times New Roman" w:cs="Times New Roman"/>
          <w:sz w:val="24"/>
          <w:szCs w:val="24"/>
        </w:rPr>
        <w:t>Субсидиите за работодателя от ДБ са, за разкрито работно място, на което е наето лице от целевата група, в размер на 50 на сто от допустимите разходи за периода на субсидиране за: трудово възнаграждение (510 лв. максимален размер за 2018 г.); допълнителни възнаграждения по минимални размери, установени в КТ; осигурителни вноски за сметка на работодателя за фондовете „Пенсии“, „ТЗПБ и ОЗМ, фонд „Безработица“, ДЗПО и НЗОК. Заетостта се субсидира за период не по-малко от 3 месеца и не повече от 12 месеца.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531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288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243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19"/>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Лицата над 50-годишна възраст могат да се възползват и от схемата за държавна помощ за насърчаване на работодателите да наемат безработни лица с трайни увреждания </w:t>
      </w:r>
      <w:r w:rsidRPr="00BD5BB8">
        <w:rPr>
          <w:rFonts w:ascii="Times New Roman" w:eastAsia="Times New Roman" w:hAnsi="Times New Roman" w:cs="Times New Roman"/>
          <w:b/>
          <w:i/>
          <w:sz w:val="24"/>
          <w:szCs w:val="24"/>
        </w:rPr>
        <w:t>(чл.51, ал. 2 от ЗНЗ)</w:t>
      </w:r>
      <w:r w:rsidRPr="00BD5BB8">
        <w:rPr>
          <w:rFonts w:ascii="Times New Roman" w:eastAsia="Times New Roman" w:hAnsi="Times New Roman" w:cs="Times New Roman"/>
          <w:i/>
          <w:sz w:val="24"/>
          <w:szCs w:val="24"/>
        </w:rPr>
        <w:t>.</w:t>
      </w:r>
      <w:r w:rsidRPr="00BD5BB8">
        <w:rPr>
          <w:rFonts w:ascii="Times New Roman" w:eastAsia="Times New Roman" w:hAnsi="Times New Roman" w:cs="Times New Roman"/>
          <w:sz w:val="24"/>
          <w:szCs w:val="24"/>
        </w:rPr>
        <w:t xml:space="preserve"> Субсидиите за работодателя от държавния бюджет са за разкрито работно място, на което е наето лице от целевата група в размер на 75 на сто от допустимите разходи за периода на субсидиране за: трудово възнаграждение (510 лв. максимален размер за 2018 г.); допълнителни възнаграждения по минимални размери, установени в КТ; осигурителни вноски за сметка на работодателя за фондовете „Пенсии“, „ТЗПБ и ОЗМ, фонд „Безработица“, ДЗПО и НЗОК. Заетостта се субсидира за период не по-малко от 3 месеца и не повече от 12 месеца.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259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lastRenderedPageBreak/>
        <w:t>- през 2017 г. – 165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94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0"/>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Сред насърчителните мерки от ЗНЗ, осигуряващи равни възможности чрез социално-икономическа </w:t>
      </w:r>
      <w:r w:rsidRPr="00BD5BB8">
        <w:rPr>
          <w:rFonts w:ascii="Times New Roman" w:eastAsia="Times New Roman" w:hAnsi="Times New Roman" w:cs="Times New Roman"/>
          <w:b/>
          <w:sz w:val="24"/>
          <w:szCs w:val="24"/>
        </w:rPr>
        <w:t>интеграция на групи в неравностойно положение на пазара на труда, вкл. на лица на възраст над 50 г.</w:t>
      </w:r>
      <w:r w:rsidRPr="00BD5BB8">
        <w:rPr>
          <w:rFonts w:ascii="Times New Roman" w:eastAsia="Times New Roman" w:hAnsi="Times New Roman" w:cs="Times New Roman"/>
          <w:sz w:val="24"/>
          <w:szCs w:val="24"/>
        </w:rPr>
        <w:t xml:space="preserve"> е </w:t>
      </w:r>
      <w:r w:rsidRPr="00BD5BB8">
        <w:rPr>
          <w:rFonts w:ascii="Times New Roman" w:eastAsia="Times New Roman" w:hAnsi="Times New Roman" w:cs="Times New Roman"/>
          <w:b/>
          <w:i/>
          <w:sz w:val="24"/>
          <w:szCs w:val="24"/>
        </w:rPr>
        <w:t>чл. 52 от ЗНЗ,</w:t>
      </w:r>
      <w:r w:rsidRPr="00BD5BB8">
        <w:rPr>
          <w:rFonts w:ascii="Times New Roman" w:eastAsia="Times New Roman" w:hAnsi="Times New Roman" w:cs="Times New Roman"/>
          <w:i/>
          <w:sz w:val="24"/>
          <w:szCs w:val="24"/>
        </w:rPr>
        <w:t xml:space="preserve"> </w:t>
      </w:r>
      <w:r w:rsidRPr="00BD5BB8">
        <w:rPr>
          <w:rFonts w:ascii="Times New Roman" w:eastAsia="Times New Roman" w:hAnsi="Times New Roman" w:cs="Times New Roman"/>
          <w:sz w:val="24"/>
          <w:szCs w:val="24"/>
        </w:rPr>
        <w:t>който цели да насърчи работодателите да разкриват работни места за наемане на безработни лица с трайно намалена работоспособност на пълно или непълно работно време. По условията на мярката се предоставят финансови стимули на работодатели, които разкриват работни места за наемане на безработни лица с трайни увреждания, вкл. и военноинвалиди, насочени от поделенията на Агенцията по заетостта за работа на пълно или непълно работно време. През 2018 г. на работодатели, разкрили работни места и осигурили заетост на лица от целевата група, са финансирани разходите за труд за период до 6 месеца. Субсидираното трудово възнаграждение на лицата, включени в насърчителната мярка с висше образование, наети на длъжности, за заемането на които минималното образователно и квалификационно ниво, съгласно НКПД, 2011 г., е определено като завършена степен на висше образование, е 480 лв., а за останалите – 400 лв., съответно 2</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89 лв./2</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41 лв. почасово трудово възнаграждение.</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105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61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44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5"/>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Целева група по условията на </w:t>
      </w:r>
      <w:r w:rsidRPr="00BD5BB8">
        <w:rPr>
          <w:rFonts w:ascii="Times New Roman" w:eastAsia="Times New Roman" w:hAnsi="Times New Roman" w:cs="Times New Roman"/>
          <w:b/>
          <w:i/>
          <w:sz w:val="24"/>
          <w:szCs w:val="24"/>
        </w:rPr>
        <w:t>чл.55в от ЗНЗ</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sz w:val="24"/>
          <w:szCs w:val="24"/>
        </w:rPr>
        <w:t xml:space="preserve">– Насърчаване на работодателите да наемат на работа продължително безработни лица са безработни лица с непрекъснато поддържана регистрация в бюрата по труда не по-малко от 12 месеца, </w:t>
      </w:r>
      <w:r w:rsidRPr="00BD5BB8">
        <w:rPr>
          <w:rFonts w:ascii="Times New Roman" w:eastAsia="Times New Roman" w:hAnsi="Times New Roman" w:cs="Times New Roman"/>
          <w:b/>
          <w:sz w:val="24"/>
          <w:szCs w:val="24"/>
        </w:rPr>
        <w:t>вкл. лица над 50–годишна възраст.</w:t>
      </w:r>
      <w:r w:rsidRPr="00BD5BB8">
        <w:rPr>
          <w:rFonts w:ascii="Times New Roman" w:eastAsia="Times New Roman" w:hAnsi="Times New Roman" w:cs="Times New Roman"/>
          <w:sz w:val="24"/>
          <w:szCs w:val="24"/>
        </w:rPr>
        <w:t xml:space="preserve"> През 2018 г. със средства от ДБ са финансирани разходите на работодателите за труд – в размер на 510 лв. Работодателят е задължен да запази заетостта за допълнителен период, равен на периода на субсидиране.</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включени общо в заетост </w:t>
      </w:r>
      <w:r w:rsidRPr="00BD5BB8">
        <w:rPr>
          <w:rFonts w:ascii="Times New Roman" w:eastAsia="Times New Roman" w:hAnsi="Times New Roman" w:cs="Times New Roman"/>
          <w:b/>
          <w:sz w:val="24"/>
          <w:szCs w:val="24"/>
        </w:rPr>
        <w:t>183 безработни лица над 50 г.,</w:t>
      </w:r>
      <w:r w:rsidRPr="00BD5BB8">
        <w:rPr>
          <w:rFonts w:ascii="Times New Roman" w:eastAsia="Times New Roman" w:hAnsi="Times New Roman" w:cs="Times New Roman"/>
          <w:sz w:val="24"/>
          <w:szCs w:val="24"/>
        </w:rPr>
        <w:t xml:space="preserve">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83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100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1"/>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От условията на </w:t>
      </w:r>
      <w:r w:rsidRPr="00BD5BB8">
        <w:rPr>
          <w:rFonts w:ascii="Times New Roman" w:eastAsia="Times New Roman" w:hAnsi="Times New Roman" w:cs="Times New Roman"/>
          <w:b/>
          <w:i/>
          <w:sz w:val="24"/>
          <w:szCs w:val="24"/>
        </w:rPr>
        <w:t>чл.55г от ЗНЗ</w:t>
      </w:r>
      <w:r w:rsidRPr="00BD5BB8">
        <w:rPr>
          <w:rFonts w:ascii="Times New Roman" w:eastAsia="Times New Roman" w:hAnsi="Times New Roman" w:cs="Times New Roman"/>
          <w:sz w:val="24"/>
          <w:szCs w:val="24"/>
        </w:rPr>
        <w:t xml:space="preserve"> – Насърчаване на работодателите да разкриват работни места за чиракуване и осигуряване на допълнително трудово възнаграждение на наставник за разкритите работни места за чиракуване, могат да се възползват безработни лица с основно или по-ниско образование и без квалификация, </w:t>
      </w:r>
      <w:r w:rsidRPr="00BD5BB8">
        <w:rPr>
          <w:rFonts w:ascii="Times New Roman" w:eastAsia="Times New Roman" w:hAnsi="Times New Roman" w:cs="Times New Roman"/>
          <w:b/>
          <w:sz w:val="24"/>
          <w:szCs w:val="24"/>
        </w:rPr>
        <w:t>вкл. възрастни лица.</w:t>
      </w:r>
      <w:r w:rsidRPr="00BD5BB8">
        <w:rPr>
          <w:rFonts w:ascii="Times New Roman" w:eastAsia="Times New Roman" w:hAnsi="Times New Roman" w:cs="Times New Roman"/>
          <w:sz w:val="24"/>
          <w:szCs w:val="24"/>
        </w:rPr>
        <w:t xml:space="preserve"> През 2018 г. със средства от държавния бюджет са финансирани разходите на работодателите за труд – част от трудовото възнаграждение на наетото лице в размер на 400 лв. (2</w:t>
      </w:r>
      <w:r w:rsidR="00432E1A">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 xml:space="preserve">41 лв. почасово трудово възнаграждение) и допълнителни плащания по трудовото и осигурително законодателство. Заетостта на лицето е субсидирана за период до 6 месеца. През 2018 г. средствата за наставника са в размер на 180 лв. за период до 12 месеца, като се отчита обстоятелството, че работодателят е запазил заетостта на лицето за допълнителен период, равен на периода на субсидиране. </w:t>
      </w:r>
      <w:r w:rsidRPr="00BD5BB8">
        <w:rPr>
          <w:rFonts w:ascii="Times New Roman" w:eastAsia="Times New Roman" w:hAnsi="Times New Roman" w:cs="Times New Roman"/>
          <w:sz w:val="24"/>
          <w:szCs w:val="24"/>
        </w:rPr>
        <w:lastRenderedPageBreak/>
        <w:t xml:space="preserve">Наставникът обучава наетото лице на конкретно работно място.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включени общо в заетост </w:t>
      </w:r>
      <w:r w:rsidRPr="00BD5BB8">
        <w:rPr>
          <w:rFonts w:ascii="Times New Roman" w:eastAsia="Times New Roman" w:hAnsi="Times New Roman" w:cs="Times New Roman"/>
          <w:b/>
          <w:sz w:val="24"/>
          <w:szCs w:val="24"/>
        </w:rPr>
        <w:t>46 безработни лица над 50 г.,</w:t>
      </w:r>
      <w:r w:rsidRPr="00BD5BB8">
        <w:rPr>
          <w:rFonts w:ascii="Times New Roman" w:eastAsia="Times New Roman" w:hAnsi="Times New Roman" w:cs="Times New Roman"/>
          <w:sz w:val="24"/>
          <w:szCs w:val="24"/>
        </w:rPr>
        <w:t xml:space="preserve">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20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26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2"/>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От условията на </w:t>
      </w:r>
      <w:r w:rsidRPr="00BD5BB8">
        <w:rPr>
          <w:rFonts w:ascii="Times New Roman" w:eastAsia="Times New Roman" w:hAnsi="Times New Roman" w:cs="Times New Roman"/>
          <w:b/>
          <w:i/>
          <w:sz w:val="24"/>
          <w:szCs w:val="24"/>
        </w:rPr>
        <w:t>чл.55д от ЗНЗ</w:t>
      </w:r>
      <w:r w:rsidRPr="00BD5BB8">
        <w:rPr>
          <w:rFonts w:ascii="Times New Roman" w:eastAsia="Times New Roman" w:hAnsi="Times New Roman" w:cs="Times New Roman"/>
          <w:b/>
          <w:sz w:val="24"/>
          <w:szCs w:val="24"/>
        </w:rPr>
        <w:t xml:space="preserve"> – </w:t>
      </w:r>
      <w:r w:rsidRPr="00BD5BB8">
        <w:rPr>
          <w:rFonts w:ascii="Times New Roman" w:eastAsia="Times New Roman" w:hAnsi="Times New Roman" w:cs="Times New Roman"/>
          <w:bCs/>
          <w:sz w:val="24"/>
          <w:szCs w:val="24"/>
        </w:rPr>
        <w:t>Насърчаване</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Cs/>
          <w:sz w:val="24"/>
          <w:szCs w:val="24"/>
        </w:rPr>
        <w:t>на</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Cs/>
          <w:sz w:val="24"/>
          <w:szCs w:val="24"/>
        </w:rPr>
        <w:t>работодателите</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Cs/>
          <w:sz w:val="24"/>
          <w:szCs w:val="24"/>
        </w:rPr>
        <w:t>да</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Cs/>
          <w:sz w:val="24"/>
          <w:szCs w:val="24"/>
        </w:rPr>
        <w:t>разкриват</w:t>
      </w:r>
      <w:r w:rsidRPr="00BD5BB8">
        <w:rPr>
          <w:rFonts w:ascii="Times New Roman" w:eastAsia="Times New Roman" w:hAnsi="Times New Roman" w:cs="Times New Roman"/>
          <w:sz w:val="24"/>
          <w:szCs w:val="24"/>
        </w:rPr>
        <w:t xml:space="preserve"> </w:t>
      </w:r>
      <w:r w:rsidRPr="00BD5BB8">
        <w:rPr>
          <w:rFonts w:ascii="Times New Roman" w:eastAsia="Times New Roman" w:hAnsi="Times New Roman" w:cs="Times New Roman"/>
          <w:b/>
          <w:bCs/>
          <w:sz w:val="24"/>
          <w:szCs w:val="24"/>
        </w:rPr>
        <w:t>"зелени</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b/>
          <w:bCs/>
          <w:sz w:val="24"/>
          <w:szCs w:val="24"/>
        </w:rPr>
        <w:t>работни</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b/>
          <w:bCs/>
          <w:sz w:val="24"/>
          <w:szCs w:val="24"/>
        </w:rPr>
        <w:t>места"</w:t>
      </w:r>
      <w:r w:rsidRPr="00BD5BB8">
        <w:rPr>
          <w:rFonts w:ascii="Times New Roman" w:eastAsia="Times New Roman" w:hAnsi="Times New Roman" w:cs="Times New Roman"/>
          <w:bCs/>
          <w:sz w:val="24"/>
          <w:szCs w:val="24"/>
        </w:rPr>
        <w:t xml:space="preserve">, могат да се възползват </w:t>
      </w:r>
      <w:r w:rsidRPr="00BD5BB8">
        <w:rPr>
          <w:rFonts w:ascii="Times New Roman" w:eastAsia="Times New Roman" w:hAnsi="Times New Roman" w:cs="Times New Roman"/>
          <w:sz w:val="24"/>
          <w:szCs w:val="24"/>
        </w:rPr>
        <w:t xml:space="preserve">безработни лица с непрекъснато поддържана регистрация не по-малко от 6 месеца, </w:t>
      </w:r>
      <w:r w:rsidRPr="00BD5BB8">
        <w:rPr>
          <w:rFonts w:ascii="Times New Roman" w:eastAsia="Times New Roman" w:hAnsi="Times New Roman" w:cs="Times New Roman"/>
          <w:b/>
          <w:sz w:val="24"/>
          <w:szCs w:val="24"/>
        </w:rPr>
        <w:t>вкл. лица над 50 – годишна възраст.</w:t>
      </w:r>
      <w:r w:rsidRPr="00BD5BB8">
        <w:rPr>
          <w:rFonts w:ascii="Times New Roman" w:eastAsia="Times New Roman" w:hAnsi="Times New Roman" w:cs="Times New Roman"/>
          <w:sz w:val="24"/>
          <w:szCs w:val="24"/>
        </w:rPr>
        <w:t xml:space="preserve"> Мярката стимулира разкриването на „зелени работни места“, свързани с производството на стоки и предоставянето на услуги, които подпомагат опазването на околната среда. Със съвместна заповед на министъра на труда и социалната политика и министъра на околната среда и водите са определени икономическите дейности, в чиито обхват се разкриват „зелените работни места“. Целева група са безработни лица с непрекъснато поддържана регистрация не по-малко от 6 месеца. През 2018 г. работодателите са насърчени да разкриват „зелени работни места“ чрез финансиране на разходите за труд – част от трудовото възнаграждение в размер на 400 лв. и допълнителните плащания по трудовото и осигурително законодателство за период до 6 месеца, а за лица, наети на длъжности, които изискват трета степен на професионална квалификация или висше образование – до 8 месеца.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тази насърчителна мярка са </w:t>
      </w:r>
      <w:r w:rsidRPr="00BD5BB8">
        <w:rPr>
          <w:rFonts w:ascii="Times New Roman" w:eastAsia="Times New Roman" w:hAnsi="Times New Roman" w:cs="Times New Roman"/>
          <w:b/>
          <w:sz w:val="24"/>
          <w:szCs w:val="24"/>
        </w:rPr>
        <w:t>включени общо в заетост 35 безработни лица</w:t>
      </w:r>
      <w:r w:rsidRPr="00BD5BB8">
        <w:rPr>
          <w:rFonts w:ascii="Times New Roman" w:eastAsia="Times New Roman" w:hAnsi="Times New Roman" w:cs="Times New Roman"/>
          <w:sz w:val="24"/>
          <w:szCs w:val="24"/>
        </w:rPr>
        <w:t xml:space="preserve"> над 50 г.,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14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21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3"/>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През отчетния период лицата от целевата група имат възможност да се включват в </w:t>
      </w:r>
      <w:r w:rsidRPr="00BD5BB8">
        <w:rPr>
          <w:rFonts w:ascii="Times New Roman" w:eastAsia="Times New Roman" w:hAnsi="Times New Roman" w:cs="Times New Roman"/>
          <w:b/>
          <w:sz w:val="24"/>
          <w:szCs w:val="24"/>
        </w:rPr>
        <w:t>обучение за придобиване на професионална квалификация по професии,</w:t>
      </w:r>
      <w:r w:rsidRPr="00BD5BB8">
        <w:rPr>
          <w:rFonts w:ascii="Times New Roman" w:eastAsia="Times New Roman" w:hAnsi="Times New Roman" w:cs="Times New Roman"/>
          <w:sz w:val="24"/>
          <w:szCs w:val="24"/>
        </w:rPr>
        <w:t xml:space="preserve"> в т.ч. епизодично или слабо търсени на пазара на труда, обучения за придобиване на ключови компетентности, за които няма масово търсене </w:t>
      </w:r>
      <w:r w:rsidRPr="00BD5BB8">
        <w:rPr>
          <w:rFonts w:ascii="Times New Roman" w:eastAsia="Times New Roman" w:hAnsi="Times New Roman" w:cs="Times New Roman"/>
          <w:b/>
          <w:sz w:val="24"/>
          <w:szCs w:val="24"/>
        </w:rPr>
        <w:t xml:space="preserve">в ДП БГЦПО. </w:t>
      </w:r>
      <w:r w:rsidRPr="00BD5BB8">
        <w:rPr>
          <w:rFonts w:ascii="Times New Roman" w:eastAsia="Times New Roman" w:hAnsi="Times New Roman" w:cs="Times New Roman"/>
          <w:b/>
          <w:i/>
          <w:sz w:val="24"/>
          <w:szCs w:val="24"/>
        </w:rPr>
        <w:t>Двугодишният план за обучение, провеждано от БГЦПО</w:t>
      </w:r>
      <w:r w:rsidRPr="00BD5BB8">
        <w:rPr>
          <w:rFonts w:ascii="Times New Roman" w:eastAsia="Times New Roman" w:hAnsi="Times New Roman" w:cs="Times New Roman"/>
          <w:sz w:val="24"/>
          <w:szCs w:val="24"/>
        </w:rPr>
        <w:t xml:space="preserve"> има за основна цел повишаване пригодността за заетост на безработни лица от групите в неравностойно положение на пазара на труда чрез реализиране на комплекс от мерки, включващ информиране, консултиране, професионално ориентиране, професионално обучение и обучение по ключови компетентности (КК) в 5 клона на ДП БГЦПО.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За периода 2017 г. – 2018 г. в обучение са включени общо </w:t>
      </w:r>
      <w:r w:rsidRPr="00BD5BB8">
        <w:rPr>
          <w:rFonts w:ascii="Times New Roman" w:eastAsia="Times New Roman" w:hAnsi="Times New Roman" w:cs="Times New Roman"/>
          <w:b/>
          <w:sz w:val="24"/>
          <w:szCs w:val="24"/>
        </w:rPr>
        <w:t>686 безработни лица над 50 г.</w:t>
      </w:r>
      <w:r w:rsidRPr="00BD5BB8">
        <w:rPr>
          <w:rFonts w:ascii="Times New Roman" w:eastAsia="Times New Roman" w:hAnsi="Times New Roman" w:cs="Times New Roman"/>
          <w:sz w:val="24"/>
          <w:szCs w:val="24"/>
        </w:rPr>
        <w:t>, като разпределението им през годините е, както следва: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2017 г. – 327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през 2018 г. – 359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sz w:val="24"/>
          <w:szCs w:val="24"/>
        </w:rPr>
      </w:pPr>
    </w:p>
    <w:p w:rsidR="001777F1" w:rsidRPr="00BD5BB8" w:rsidRDefault="001777F1" w:rsidP="00E7186B">
      <w:pPr>
        <w:widowControl w:val="0"/>
        <w:numPr>
          <w:ilvl w:val="0"/>
          <w:numId w:val="24"/>
        </w:numPr>
        <w:autoSpaceDE w:val="0"/>
        <w:autoSpaceDN w:val="0"/>
        <w:spacing w:after="0" w:line="240" w:lineRule="auto"/>
        <w:ind w:left="0"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Важни са и действията на </w:t>
      </w:r>
      <w:r w:rsidRPr="00BD5BB8">
        <w:rPr>
          <w:rFonts w:ascii="Times New Roman" w:eastAsia="Times New Roman" w:hAnsi="Times New Roman" w:cs="Times New Roman"/>
          <w:b/>
          <w:i/>
          <w:sz w:val="24"/>
          <w:szCs w:val="24"/>
        </w:rPr>
        <w:t>социалните партньори</w:t>
      </w:r>
      <w:r w:rsidRPr="00BD5BB8">
        <w:rPr>
          <w:rFonts w:ascii="Times New Roman" w:eastAsia="Times New Roman" w:hAnsi="Times New Roman" w:cs="Times New Roman"/>
          <w:sz w:val="24"/>
          <w:szCs w:val="24"/>
        </w:rPr>
        <w:t xml:space="preserve"> за повече инвестиции в здравословни и безопасни условия на труд, както и за преодоляване на негативните нагласи към по-възрастните работници и специалисти. Те са насочени към подобряване качеството на работната сила и повишаване предлагането на квалифицирани кадри в съответствие с търсенето на бизнеса, увеличаване на участието на пазара на труда и намаляване на броя на неактивните лица в трудоспособна възраст. Чрез проектите се реализира комплекс от взаимосвързани мерки за целенасочено въздействие сред </w:t>
      </w:r>
      <w:r w:rsidRPr="00BD5BB8">
        <w:rPr>
          <w:rFonts w:ascii="Times New Roman" w:eastAsia="Times New Roman" w:hAnsi="Times New Roman" w:cs="Times New Roman"/>
          <w:sz w:val="24"/>
          <w:szCs w:val="24"/>
        </w:rPr>
        <w:lastRenderedPageBreak/>
        <w:t xml:space="preserve">уязвимите групи на пазара на труда, което да допринесе за намаляване на неравновесията между предлагането и търсенето на работна сила. </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sz w:val="24"/>
          <w:szCs w:val="24"/>
        </w:rPr>
        <w:t xml:space="preserve">Лица над </w:t>
      </w:r>
      <w:r w:rsidRPr="00BD5BB8">
        <w:rPr>
          <w:rFonts w:ascii="Times New Roman" w:eastAsia="Times New Roman" w:hAnsi="Times New Roman" w:cs="Times New Roman"/>
          <w:b/>
          <w:sz w:val="24"/>
          <w:szCs w:val="24"/>
        </w:rPr>
        <w:t>50 – годишна възраст</w:t>
      </w:r>
      <w:r w:rsidRPr="00BD5BB8">
        <w:rPr>
          <w:rFonts w:ascii="Times New Roman" w:eastAsia="Times New Roman" w:hAnsi="Times New Roman" w:cs="Times New Roman"/>
          <w:sz w:val="24"/>
          <w:szCs w:val="24"/>
        </w:rPr>
        <w:t xml:space="preserve"> са включени в обучение и заетост </w:t>
      </w:r>
      <w:r w:rsidRPr="00BD5BB8">
        <w:rPr>
          <w:rFonts w:ascii="Times New Roman" w:eastAsia="Times New Roman" w:hAnsi="Times New Roman" w:cs="Times New Roman"/>
          <w:b/>
          <w:sz w:val="24"/>
          <w:szCs w:val="24"/>
        </w:rPr>
        <w:t>през 2017 г.</w:t>
      </w:r>
      <w:r w:rsidRPr="00BD5BB8">
        <w:rPr>
          <w:rFonts w:ascii="Times New Roman" w:eastAsia="Times New Roman" w:hAnsi="Times New Roman" w:cs="Times New Roman"/>
          <w:sz w:val="24"/>
          <w:szCs w:val="24"/>
        </w:rPr>
        <w:t xml:space="preserve"> по следните проекти на социалните партньори: Проект „Шанс за работа – 2017” (КНСБ), Проект „Стъпка напред” (АИКБ), Проект „Квалифицирани кадри за бизнеса” (БСК), Проект „Нова перспектива II” (ССИ), Проект „КРОС” (БТПП), Проект „Хоризонти 2” (КТ „Подкрепа”). </w:t>
      </w:r>
      <w:r w:rsidRPr="00BD5BB8">
        <w:rPr>
          <w:rFonts w:ascii="Times New Roman" w:eastAsia="Times New Roman" w:hAnsi="Times New Roman" w:cs="Times New Roman"/>
          <w:b/>
          <w:sz w:val="24"/>
          <w:szCs w:val="24"/>
        </w:rPr>
        <w:t>В обучение</w:t>
      </w:r>
      <w:r w:rsidRPr="00BD5BB8">
        <w:rPr>
          <w:rFonts w:ascii="Times New Roman" w:eastAsia="Times New Roman" w:hAnsi="Times New Roman" w:cs="Times New Roman"/>
          <w:sz w:val="24"/>
          <w:szCs w:val="24"/>
        </w:rPr>
        <w:t xml:space="preserve"> по проектите на социалните партньори през 2017 г. са включени общо </w:t>
      </w:r>
      <w:r w:rsidRPr="00BD5BB8">
        <w:rPr>
          <w:rFonts w:ascii="Times New Roman" w:eastAsia="Times New Roman" w:hAnsi="Times New Roman" w:cs="Times New Roman"/>
          <w:b/>
          <w:sz w:val="24"/>
          <w:szCs w:val="24"/>
        </w:rPr>
        <w:t>3 636 безработни лица от целевата група. Осигурена е заетост на 1 127 лица.</w:t>
      </w:r>
    </w:p>
    <w:p w:rsidR="001777F1" w:rsidRPr="00BD5BB8" w:rsidRDefault="001777F1" w:rsidP="001777F1">
      <w:pPr>
        <w:widowControl w:val="0"/>
        <w:autoSpaceDE w:val="0"/>
        <w:autoSpaceDN w:val="0"/>
        <w:spacing w:after="0" w:line="240" w:lineRule="auto"/>
        <w:ind w:firstLine="709"/>
        <w:jc w:val="both"/>
        <w:rPr>
          <w:rFonts w:ascii="Times New Roman" w:eastAsia="Times New Roman" w:hAnsi="Times New Roman" w:cs="Times New Roman"/>
          <w:b/>
          <w:sz w:val="24"/>
          <w:szCs w:val="24"/>
        </w:rPr>
      </w:pPr>
      <w:r w:rsidRPr="00BD5BB8">
        <w:rPr>
          <w:rFonts w:ascii="Times New Roman" w:eastAsia="Times New Roman" w:hAnsi="Times New Roman" w:cs="Times New Roman"/>
          <w:b/>
          <w:sz w:val="24"/>
          <w:szCs w:val="24"/>
        </w:rPr>
        <w:t>През 2018 г.</w:t>
      </w:r>
      <w:r w:rsidRPr="00BD5BB8">
        <w:rPr>
          <w:rFonts w:ascii="Times New Roman" w:eastAsia="Times New Roman" w:hAnsi="Times New Roman" w:cs="Times New Roman"/>
          <w:sz w:val="24"/>
          <w:szCs w:val="24"/>
        </w:rPr>
        <w:t xml:space="preserve"> лица над </w:t>
      </w:r>
      <w:r w:rsidRPr="00BD5BB8">
        <w:rPr>
          <w:rFonts w:ascii="Times New Roman" w:eastAsia="Times New Roman" w:hAnsi="Times New Roman" w:cs="Times New Roman"/>
          <w:b/>
          <w:sz w:val="24"/>
          <w:szCs w:val="24"/>
        </w:rPr>
        <w:t>50 – годишна възраст</w:t>
      </w:r>
      <w:r w:rsidRPr="00BD5BB8">
        <w:rPr>
          <w:rFonts w:ascii="Times New Roman" w:eastAsia="Times New Roman" w:hAnsi="Times New Roman" w:cs="Times New Roman"/>
          <w:sz w:val="24"/>
          <w:szCs w:val="24"/>
        </w:rPr>
        <w:t xml:space="preserve"> са включени в обучение и заетост по следните проекти на социалните партньори: „КРОС-БИ” (БТПП), Проект „Ние също можем” (КНСБ), Проект „Хоризонти 3” (КТ „Подкрепа”), Проект „Рестарт” (АИКБ), Проект „Надграждане чрез нови възможности за обучение и заетост” (ССИ), Проект „Обучение за заетост” (БСК). </w:t>
      </w:r>
      <w:r w:rsidRPr="00BD5BB8">
        <w:rPr>
          <w:rFonts w:ascii="Times New Roman" w:eastAsia="Times New Roman" w:hAnsi="Times New Roman" w:cs="Times New Roman"/>
          <w:b/>
          <w:sz w:val="24"/>
          <w:szCs w:val="24"/>
        </w:rPr>
        <w:t>В обучение</w:t>
      </w:r>
      <w:r w:rsidRPr="00BD5BB8">
        <w:rPr>
          <w:rFonts w:ascii="Times New Roman" w:eastAsia="Times New Roman" w:hAnsi="Times New Roman" w:cs="Times New Roman"/>
          <w:sz w:val="24"/>
          <w:szCs w:val="24"/>
        </w:rPr>
        <w:t xml:space="preserve"> по проектите на социалните партньори през 2018 г. са включени общо </w:t>
      </w:r>
      <w:r w:rsidRPr="00BD5BB8">
        <w:rPr>
          <w:rFonts w:ascii="Times New Roman" w:eastAsia="Times New Roman" w:hAnsi="Times New Roman" w:cs="Times New Roman"/>
          <w:b/>
          <w:sz w:val="24"/>
          <w:szCs w:val="24"/>
        </w:rPr>
        <w:t>4 594 безработни лица от целевата група. Осигурена е заетост на 1 436 лица.</w:t>
      </w:r>
    </w:p>
    <w:p w:rsidR="005F2097" w:rsidRPr="00BD5BB8" w:rsidRDefault="005F2097" w:rsidP="005F2097">
      <w:pPr>
        <w:spacing w:after="0" w:line="240" w:lineRule="auto"/>
        <w:jc w:val="both"/>
      </w:pPr>
    </w:p>
    <w:p w:rsidR="005F2097" w:rsidRPr="00BD5BB8" w:rsidRDefault="005F2097" w:rsidP="005F2097">
      <w:pPr>
        <w:spacing w:after="0" w:line="240" w:lineRule="auto"/>
        <w:jc w:val="center"/>
        <w:rPr>
          <w:rFonts w:ascii="Times New Roman" w:hAnsi="Times New Roman" w:cs="Times New Roman"/>
          <w:b/>
          <w:color w:val="C0504D" w:themeColor="accent2"/>
          <w:sz w:val="24"/>
          <w:szCs w:val="24"/>
        </w:rPr>
      </w:pPr>
      <w:r w:rsidRPr="00BD5BB8">
        <w:rPr>
          <w:rFonts w:ascii="Times New Roman" w:hAnsi="Times New Roman" w:cs="Times New Roman"/>
          <w:b/>
          <w:caps/>
          <w:color w:val="C0504D" w:themeColor="accent2"/>
          <w:sz w:val="24"/>
          <w:szCs w:val="24"/>
        </w:rPr>
        <w:t>Агенция за хората с увреждания</w:t>
      </w:r>
      <w:r w:rsidRPr="00BD5BB8">
        <w:rPr>
          <w:rFonts w:ascii="Times New Roman" w:hAnsi="Times New Roman" w:cs="Times New Roman"/>
          <w:b/>
          <w:color w:val="C0504D" w:themeColor="accent2"/>
          <w:sz w:val="24"/>
          <w:szCs w:val="24"/>
        </w:rPr>
        <w:t xml:space="preserve"> (АХУ)</w:t>
      </w:r>
    </w:p>
    <w:p w:rsidR="005F2097" w:rsidRPr="00BD5BB8" w:rsidRDefault="005F2097" w:rsidP="005F2097">
      <w:pPr>
        <w:spacing w:after="0" w:line="240" w:lineRule="auto"/>
        <w:ind w:firstLine="709"/>
        <w:jc w:val="both"/>
        <w:rPr>
          <w:rFonts w:ascii="Times New Roman" w:hAnsi="Times New Roman" w:cs="Times New Roman"/>
          <w:b/>
          <w:sz w:val="24"/>
          <w:szCs w:val="24"/>
        </w:rPr>
      </w:pP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Агенцията за хора с увреждания осъществява изпълнението на държавната политика за интеграция на хората с увреждания, като всяка година финансира проекти по няколко програми за заетост, както и програми, целящи социалното включване на хората с увреждания в обществения живот на страната. Програмите, насочени към хора с увреждания, включват и не малка част възрастни хора с увреждания. </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По-долу са представени данни за обхванатите хора с увреждания по цитираните програми, както и средствата, които АХУ е отпуснала за тяхното реализиране.  </w:t>
      </w:r>
    </w:p>
    <w:p w:rsidR="007C20A8" w:rsidRPr="00BD5BB8" w:rsidRDefault="007C20A8" w:rsidP="00E7186B">
      <w:pPr>
        <w:numPr>
          <w:ilvl w:val="0"/>
          <w:numId w:val="4"/>
        </w:numPr>
        <w:spacing w:after="0" w:line="240" w:lineRule="auto"/>
        <w:contextualSpacing/>
        <w:jc w:val="both"/>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Осигуряване на заетост на хора с увреждания в обичайна и специализирана работна среда.</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През  2017 г. са оборудвани, приспособени и е осигурен достъп в обичайна и специализирана работна среда  на </w:t>
      </w:r>
      <w:r w:rsidRPr="00BD5BB8">
        <w:rPr>
          <w:rFonts w:ascii="Times New Roman" w:eastAsia="Calibri" w:hAnsi="Times New Roman" w:cs="Times New Roman"/>
          <w:b/>
          <w:sz w:val="24"/>
          <w:szCs w:val="24"/>
        </w:rPr>
        <w:t>63</w:t>
      </w:r>
      <w:r w:rsidRPr="00BD5BB8">
        <w:rPr>
          <w:rFonts w:ascii="Times New Roman" w:eastAsia="Calibri" w:hAnsi="Times New Roman" w:cs="Times New Roman"/>
          <w:sz w:val="24"/>
          <w:szCs w:val="24"/>
        </w:rPr>
        <w:t xml:space="preserve"> работни места за хора с увреждания на стойност </w:t>
      </w:r>
      <w:r w:rsidRPr="00BD5BB8">
        <w:rPr>
          <w:rFonts w:ascii="Times New Roman" w:eastAsia="Calibri" w:hAnsi="Times New Roman" w:cs="Times New Roman"/>
          <w:b/>
          <w:sz w:val="24"/>
          <w:szCs w:val="24"/>
        </w:rPr>
        <w:t xml:space="preserve">1 089 566 </w:t>
      </w:r>
      <w:r w:rsidRPr="00BD5BB8">
        <w:rPr>
          <w:rFonts w:ascii="Times New Roman" w:eastAsia="Calibri" w:hAnsi="Times New Roman" w:cs="Times New Roman"/>
          <w:sz w:val="24"/>
          <w:szCs w:val="24"/>
        </w:rPr>
        <w:t xml:space="preserve">лв.  </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През 2018 г. са оборудвани, приспособени и е осигурен достъп в обичайна и специализирана работна среда  на </w:t>
      </w:r>
      <w:r w:rsidRPr="00BD5BB8">
        <w:rPr>
          <w:rFonts w:ascii="Times New Roman" w:eastAsia="Calibri" w:hAnsi="Times New Roman" w:cs="Times New Roman"/>
          <w:b/>
          <w:sz w:val="24"/>
          <w:szCs w:val="24"/>
        </w:rPr>
        <w:t>72</w:t>
      </w:r>
      <w:r w:rsidRPr="00BD5BB8">
        <w:rPr>
          <w:rFonts w:ascii="Times New Roman" w:eastAsia="Calibri" w:hAnsi="Times New Roman" w:cs="Times New Roman"/>
          <w:sz w:val="24"/>
          <w:szCs w:val="24"/>
        </w:rPr>
        <w:t xml:space="preserve"> работни места за хора с увреждания на стойност </w:t>
      </w:r>
      <w:r w:rsidRPr="00BD5BB8">
        <w:rPr>
          <w:rFonts w:ascii="Times New Roman" w:eastAsia="Calibri" w:hAnsi="Times New Roman" w:cs="Times New Roman"/>
          <w:b/>
          <w:sz w:val="24"/>
          <w:szCs w:val="24"/>
        </w:rPr>
        <w:t xml:space="preserve">1 147 229.73 </w:t>
      </w:r>
      <w:r w:rsidRPr="00BD5BB8">
        <w:rPr>
          <w:rFonts w:ascii="Times New Roman" w:eastAsia="Calibri" w:hAnsi="Times New Roman" w:cs="Times New Roman"/>
          <w:sz w:val="24"/>
          <w:szCs w:val="24"/>
        </w:rPr>
        <w:t xml:space="preserve">лв.  </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p>
    <w:p w:rsidR="007C20A8" w:rsidRPr="00BD5BB8" w:rsidRDefault="007C20A8" w:rsidP="00E7186B">
      <w:pPr>
        <w:numPr>
          <w:ilvl w:val="0"/>
          <w:numId w:val="4"/>
        </w:numPr>
        <w:spacing w:after="0" w:line="240" w:lineRule="auto"/>
        <w:contextualSpacing/>
        <w:jc w:val="both"/>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Работни места с осигурени и/или подобрени здравословни и безопасни условия на труд.</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През  2017 година са подобрени условия на труд на </w:t>
      </w:r>
      <w:r w:rsidRPr="00BD5BB8">
        <w:rPr>
          <w:rFonts w:ascii="Times New Roman" w:eastAsia="Calibri" w:hAnsi="Times New Roman" w:cs="Times New Roman"/>
          <w:b/>
          <w:sz w:val="24"/>
          <w:szCs w:val="24"/>
        </w:rPr>
        <w:t>660</w:t>
      </w:r>
      <w:r w:rsidRPr="00BD5BB8">
        <w:rPr>
          <w:rFonts w:ascii="Times New Roman" w:eastAsia="Calibri" w:hAnsi="Times New Roman" w:cs="Times New Roman"/>
          <w:sz w:val="24"/>
          <w:szCs w:val="24"/>
        </w:rPr>
        <w:t xml:space="preserve"> лица на стойност </w:t>
      </w:r>
      <w:r w:rsidRPr="00BD5BB8">
        <w:rPr>
          <w:rFonts w:ascii="Times New Roman" w:eastAsia="Calibri" w:hAnsi="Times New Roman" w:cs="Times New Roman"/>
          <w:b/>
          <w:sz w:val="24"/>
          <w:szCs w:val="24"/>
        </w:rPr>
        <w:t>563 928.42 лв.</w:t>
      </w:r>
      <w:r w:rsidRPr="00BD5BB8">
        <w:rPr>
          <w:rFonts w:ascii="Times New Roman" w:eastAsia="Calibri" w:hAnsi="Times New Roman" w:cs="Times New Roman"/>
          <w:sz w:val="24"/>
          <w:szCs w:val="24"/>
        </w:rPr>
        <w:t xml:space="preserve"> </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През 2018 година са подобрени условия на труд на </w:t>
      </w:r>
      <w:r w:rsidRPr="00BD5BB8">
        <w:rPr>
          <w:rFonts w:ascii="Times New Roman" w:eastAsia="Calibri" w:hAnsi="Times New Roman" w:cs="Times New Roman"/>
          <w:b/>
          <w:sz w:val="24"/>
          <w:szCs w:val="24"/>
        </w:rPr>
        <w:t>323</w:t>
      </w:r>
      <w:r w:rsidRPr="00BD5BB8">
        <w:rPr>
          <w:rFonts w:ascii="Times New Roman" w:eastAsia="Calibri" w:hAnsi="Times New Roman" w:cs="Times New Roman"/>
          <w:sz w:val="24"/>
          <w:szCs w:val="24"/>
        </w:rPr>
        <w:t xml:space="preserve"> лица на стойност </w:t>
      </w:r>
      <w:r w:rsidRPr="00BD5BB8">
        <w:rPr>
          <w:rFonts w:ascii="Times New Roman" w:eastAsia="Calibri" w:hAnsi="Times New Roman" w:cs="Times New Roman"/>
          <w:b/>
          <w:sz w:val="24"/>
          <w:szCs w:val="24"/>
        </w:rPr>
        <w:t>393 491.90</w:t>
      </w:r>
      <w:r w:rsidRPr="00BD5BB8">
        <w:rPr>
          <w:rFonts w:ascii="Times New Roman" w:eastAsia="Calibri" w:hAnsi="Times New Roman" w:cs="Times New Roman"/>
          <w:sz w:val="24"/>
          <w:szCs w:val="24"/>
        </w:rPr>
        <w:t xml:space="preserve"> лв.</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По горните две програми са обхванати 40 % възрастни хора с увреждания.</w:t>
      </w:r>
    </w:p>
    <w:p w:rsidR="007C20A8" w:rsidRPr="00BD5BB8" w:rsidRDefault="007C20A8" w:rsidP="00E7186B">
      <w:pPr>
        <w:numPr>
          <w:ilvl w:val="0"/>
          <w:numId w:val="4"/>
        </w:numPr>
        <w:spacing w:after="0" w:line="240" w:lineRule="auto"/>
        <w:contextualSpacing/>
        <w:jc w:val="both"/>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Осигуряване на заетост на хора с увреждания чрез самонаемане.</w:t>
      </w:r>
    </w:p>
    <w:p w:rsidR="007C20A8" w:rsidRPr="00BD5BB8" w:rsidRDefault="007C20A8" w:rsidP="007C20A8">
      <w:pPr>
        <w:spacing w:after="0" w:line="240" w:lineRule="auto"/>
        <w:ind w:firstLine="709"/>
        <w:jc w:val="both"/>
        <w:rPr>
          <w:rFonts w:ascii="Times New Roman" w:eastAsia="Calibri" w:hAnsi="Times New Roman" w:cs="Times New Roman"/>
          <w:b/>
          <w:sz w:val="24"/>
          <w:szCs w:val="24"/>
        </w:rPr>
      </w:pPr>
      <w:r w:rsidRPr="00BD5BB8">
        <w:rPr>
          <w:rFonts w:ascii="Times New Roman" w:eastAsia="Calibri" w:hAnsi="Times New Roman" w:cs="Times New Roman"/>
          <w:sz w:val="24"/>
          <w:szCs w:val="24"/>
        </w:rPr>
        <w:t xml:space="preserve">През  2017 г. самостоятелна стопанска дейност са започнали </w:t>
      </w:r>
      <w:r w:rsidRPr="00BD5BB8">
        <w:rPr>
          <w:rFonts w:ascii="Times New Roman" w:eastAsia="Calibri" w:hAnsi="Times New Roman" w:cs="Times New Roman"/>
          <w:b/>
          <w:sz w:val="24"/>
          <w:szCs w:val="24"/>
        </w:rPr>
        <w:t>32</w:t>
      </w:r>
      <w:r w:rsidRPr="00BD5BB8">
        <w:rPr>
          <w:rFonts w:ascii="Times New Roman" w:eastAsia="Calibri" w:hAnsi="Times New Roman" w:cs="Times New Roman"/>
          <w:sz w:val="24"/>
          <w:szCs w:val="24"/>
        </w:rPr>
        <w:t xml:space="preserve"> лица с увреждания за </w:t>
      </w:r>
      <w:r w:rsidRPr="00BD5BB8">
        <w:rPr>
          <w:rFonts w:ascii="Times New Roman" w:eastAsia="Calibri" w:hAnsi="Times New Roman" w:cs="Times New Roman"/>
          <w:b/>
          <w:sz w:val="24"/>
          <w:szCs w:val="24"/>
        </w:rPr>
        <w:t>570</w:t>
      </w:r>
      <w:r w:rsidR="00432E1A">
        <w:rPr>
          <w:rFonts w:ascii="Times New Roman" w:eastAsia="Calibri" w:hAnsi="Times New Roman" w:cs="Times New Roman"/>
          <w:b/>
          <w:sz w:val="24"/>
          <w:szCs w:val="24"/>
        </w:rPr>
        <w:t> </w:t>
      </w:r>
      <w:r w:rsidRPr="00BD5BB8">
        <w:rPr>
          <w:rFonts w:ascii="Times New Roman" w:eastAsia="Calibri" w:hAnsi="Times New Roman" w:cs="Times New Roman"/>
          <w:b/>
          <w:sz w:val="24"/>
          <w:szCs w:val="24"/>
        </w:rPr>
        <w:t>700</w:t>
      </w:r>
      <w:r w:rsidR="00432E1A">
        <w:rPr>
          <w:rFonts w:ascii="Times New Roman" w:eastAsia="Calibri" w:hAnsi="Times New Roman" w:cs="Times New Roman"/>
          <w:b/>
          <w:sz w:val="24"/>
          <w:szCs w:val="24"/>
        </w:rPr>
        <w:t>.</w:t>
      </w:r>
      <w:r w:rsidRPr="00BD5BB8">
        <w:rPr>
          <w:rFonts w:ascii="Times New Roman" w:eastAsia="Calibri" w:hAnsi="Times New Roman" w:cs="Times New Roman"/>
          <w:b/>
          <w:sz w:val="24"/>
          <w:szCs w:val="24"/>
        </w:rPr>
        <w:t>21 лв.</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През 2018 г. самостоятелна стопанска дейност са започнали </w:t>
      </w:r>
      <w:r w:rsidRPr="00BD5BB8">
        <w:rPr>
          <w:rFonts w:ascii="Times New Roman" w:eastAsia="Calibri" w:hAnsi="Times New Roman" w:cs="Times New Roman"/>
          <w:b/>
          <w:sz w:val="24"/>
          <w:szCs w:val="24"/>
        </w:rPr>
        <w:t>26</w:t>
      </w:r>
      <w:r w:rsidRPr="00BD5BB8">
        <w:rPr>
          <w:rFonts w:ascii="Times New Roman" w:eastAsia="Calibri" w:hAnsi="Times New Roman" w:cs="Times New Roman"/>
          <w:sz w:val="24"/>
          <w:szCs w:val="24"/>
        </w:rPr>
        <w:t xml:space="preserve"> лица с увреждания за </w:t>
      </w:r>
      <w:r w:rsidRPr="00BD5BB8">
        <w:rPr>
          <w:rFonts w:ascii="Times New Roman" w:eastAsia="Calibri" w:hAnsi="Times New Roman" w:cs="Times New Roman"/>
          <w:b/>
          <w:sz w:val="24"/>
          <w:szCs w:val="24"/>
        </w:rPr>
        <w:t>490</w:t>
      </w:r>
      <w:r w:rsidR="00432E1A">
        <w:rPr>
          <w:rFonts w:ascii="Times New Roman" w:eastAsia="Calibri" w:hAnsi="Times New Roman" w:cs="Times New Roman"/>
          <w:b/>
          <w:sz w:val="24"/>
          <w:szCs w:val="24"/>
        </w:rPr>
        <w:t> </w:t>
      </w:r>
      <w:r w:rsidRPr="00BD5BB8">
        <w:rPr>
          <w:rFonts w:ascii="Times New Roman" w:eastAsia="Calibri" w:hAnsi="Times New Roman" w:cs="Times New Roman"/>
          <w:b/>
          <w:sz w:val="24"/>
          <w:szCs w:val="24"/>
        </w:rPr>
        <w:t>174</w:t>
      </w:r>
      <w:r w:rsidR="00432E1A">
        <w:rPr>
          <w:rFonts w:ascii="Times New Roman" w:eastAsia="Calibri" w:hAnsi="Times New Roman" w:cs="Times New Roman"/>
          <w:b/>
          <w:sz w:val="24"/>
          <w:szCs w:val="24"/>
        </w:rPr>
        <w:t>.</w:t>
      </w:r>
      <w:r w:rsidRPr="00BD5BB8">
        <w:rPr>
          <w:rFonts w:ascii="Times New Roman" w:eastAsia="Calibri" w:hAnsi="Times New Roman" w:cs="Times New Roman"/>
          <w:b/>
          <w:sz w:val="24"/>
          <w:szCs w:val="24"/>
        </w:rPr>
        <w:t>93</w:t>
      </w:r>
      <w:r w:rsidRPr="00BD5BB8">
        <w:rPr>
          <w:rFonts w:ascii="Times New Roman" w:eastAsia="Calibri" w:hAnsi="Times New Roman" w:cs="Times New Roman"/>
          <w:sz w:val="24"/>
          <w:szCs w:val="24"/>
        </w:rPr>
        <w:t xml:space="preserve"> лв. </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lastRenderedPageBreak/>
        <w:t xml:space="preserve">По-голямата част, около 60% от бенефициентите по програмата, са възрастни хора с трайни увреждания. </w:t>
      </w:r>
    </w:p>
    <w:p w:rsidR="007C20A8" w:rsidRPr="00BD5BB8" w:rsidRDefault="007C20A8" w:rsidP="00E7186B">
      <w:pPr>
        <w:numPr>
          <w:ilvl w:val="0"/>
          <w:numId w:val="4"/>
        </w:numPr>
        <w:spacing w:after="0" w:line="240" w:lineRule="auto"/>
        <w:contextualSpacing/>
        <w:jc w:val="both"/>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Програма „Рехабилитация и социална интеграция на хора с увреждания“</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АХУ финансира неправителствени организации, регистрирани в обществена полза на и за</w:t>
      </w:r>
      <w:r w:rsidRPr="00BD5BB8">
        <w:rPr>
          <w:rFonts w:ascii="Times New Roman" w:eastAsia="Calibri" w:hAnsi="Times New Roman" w:cs="Times New Roman"/>
          <w:b/>
          <w:sz w:val="24"/>
          <w:szCs w:val="24"/>
        </w:rPr>
        <w:t xml:space="preserve"> </w:t>
      </w:r>
      <w:r w:rsidRPr="00BD5BB8">
        <w:rPr>
          <w:rFonts w:ascii="Times New Roman" w:eastAsia="Calibri" w:hAnsi="Times New Roman" w:cs="Times New Roman"/>
          <w:sz w:val="24"/>
          <w:szCs w:val="24"/>
        </w:rPr>
        <w:t>хората с увреждания, както и национално представени организации на хората с увреждания, регистрирани по Закона за кооперациите. Чрез тази програма се изпълняват проекти за обучения, умения за самостоятелен живот, рехабилитация, арт-терапия и мероприятия с публична изява на и за хората с увреждания, финансират се разработката и издаването на помагала, наръчници и материали в помощ на хората с увреждания, както и дейности, насочени към промяна на обществените нагласи към хората с увреждания чрез организиране на участието им в панаири, трудови борси и други.</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Най-голям процент възрастни хора с увреждания участват и са включени в проекти с изяви в различни културни мероприятия като фестивали и концерти, издадени наръчници и помагала в помощ на възрастни хората с увреждания, които помагат за осигуряване на адекватна, достъпна информация.</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През  2017 г. са финансирани 21 проекта на стойност 270 000 лева и са включени  3 646 лица, като приблизително 30% са възрастни хора.</w:t>
      </w:r>
    </w:p>
    <w:p w:rsidR="007C20A8" w:rsidRPr="00BD5BB8" w:rsidRDefault="007C20A8" w:rsidP="007C20A8">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През 2018 г. са финансирани 20 проекта на стойност 270 000 лева и са включени  3 620 лица, като приблизително 40% са възрастни хора.</w:t>
      </w:r>
    </w:p>
    <w:p w:rsidR="005F2097" w:rsidRPr="00BD5BB8" w:rsidRDefault="005F2097" w:rsidP="005F2097">
      <w:pPr>
        <w:spacing w:after="0" w:line="240" w:lineRule="auto"/>
        <w:jc w:val="both"/>
        <w:rPr>
          <w:rFonts w:ascii="Times New Roman" w:hAnsi="Times New Roman" w:cs="Times New Roman"/>
          <w:sz w:val="24"/>
          <w:szCs w:val="24"/>
        </w:rPr>
      </w:pPr>
    </w:p>
    <w:p w:rsidR="005F2097" w:rsidRPr="00BD5BB8" w:rsidRDefault="005F2097" w:rsidP="005F2097">
      <w:pPr>
        <w:spacing w:after="0" w:line="240" w:lineRule="auto"/>
        <w:ind w:firstLine="709"/>
        <w:jc w:val="both"/>
        <w:rPr>
          <w:rFonts w:ascii="Times New Roman" w:hAnsi="Times New Roman" w:cs="Times New Roman"/>
          <w:sz w:val="24"/>
          <w:szCs w:val="24"/>
        </w:rPr>
      </w:pPr>
    </w:p>
    <w:p w:rsidR="002B6EEC" w:rsidRPr="00BD5BB8" w:rsidRDefault="002B6EEC" w:rsidP="005F2097">
      <w:pPr>
        <w:spacing w:after="0" w:line="240" w:lineRule="auto"/>
        <w:ind w:firstLine="709"/>
        <w:jc w:val="both"/>
        <w:rPr>
          <w:rFonts w:ascii="Times New Roman" w:hAnsi="Times New Roman" w:cs="Times New Roman"/>
          <w:sz w:val="24"/>
          <w:szCs w:val="24"/>
        </w:rPr>
      </w:pPr>
    </w:p>
    <w:p w:rsidR="002B6EEC" w:rsidRPr="00BD5BB8" w:rsidRDefault="002B6EEC" w:rsidP="005F2097">
      <w:pPr>
        <w:spacing w:after="0" w:line="240" w:lineRule="auto"/>
        <w:ind w:firstLine="709"/>
        <w:jc w:val="both"/>
        <w:rPr>
          <w:rFonts w:ascii="Times New Roman" w:hAnsi="Times New Roman" w:cs="Times New Roman"/>
          <w:sz w:val="24"/>
          <w:szCs w:val="24"/>
        </w:rPr>
      </w:pPr>
    </w:p>
    <w:p w:rsidR="005F2097" w:rsidRPr="00BD5BB8" w:rsidRDefault="005F2097" w:rsidP="005F2097">
      <w:pPr>
        <w:shd w:val="clear" w:color="auto" w:fill="92D050"/>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Оперативна цел № 2</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Осигуряване на финансова стабилност на пенсионната система, създаване на условия за активен и достоен живот в пенсионна възраст и за ограничаване на бедността сред пенсионерите</w:t>
      </w:r>
    </w:p>
    <w:p w:rsidR="005F2097" w:rsidRPr="00BD5BB8" w:rsidRDefault="005F2097" w:rsidP="005F2097">
      <w:pPr>
        <w:spacing w:after="0" w:line="240" w:lineRule="auto"/>
        <w:contextualSpacing/>
        <w:jc w:val="both"/>
      </w:pP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3.2. Мерки за осигуряване на финансова стабилност на пенсионната система, създаване на условия за активен и достоен живот в пенсионна възраст и за ограничаване на бедността сред пенсионерите по Оперативна цел 2 </w:t>
      </w:r>
    </w:p>
    <w:p w:rsidR="005F2097" w:rsidRPr="00BD5BB8" w:rsidRDefault="005F2097" w:rsidP="005F2097">
      <w:pPr>
        <w:spacing w:after="0" w:line="240" w:lineRule="auto"/>
        <w:jc w:val="both"/>
      </w:pPr>
    </w:p>
    <w:p w:rsidR="005F2097" w:rsidRPr="00BD5BB8" w:rsidRDefault="005F2097" w:rsidP="005F2097">
      <w:pPr>
        <w:spacing w:after="0" w:line="240" w:lineRule="auto"/>
        <w:jc w:val="center"/>
        <w:rPr>
          <w:rFonts w:ascii="Times New Roman" w:hAnsi="Times New Roman" w:cs="Times New Roman"/>
          <w:b/>
          <w:color w:val="C0504D" w:themeColor="accent2"/>
          <w:sz w:val="24"/>
          <w:szCs w:val="24"/>
        </w:rPr>
      </w:pPr>
      <w:r w:rsidRPr="00BD5BB8">
        <w:rPr>
          <w:rFonts w:ascii="Times New Roman" w:hAnsi="Times New Roman" w:cs="Times New Roman"/>
          <w:b/>
          <w:color w:val="C0504D" w:themeColor="accent2"/>
          <w:sz w:val="24"/>
          <w:szCs w:val="24"/>
        </w:rPr>
        <w:t>НАЦИОНАЛЕН ОСИГУРИТЕЛЕН ИНСТИТУТ</w:t>
      </w:r>
    </w:p>
    <w:p w:rsidR="005F2097" w:rsidRPr="00BD5BB8" w:rsidRDefault="005F2097" w:rsidP="005F2097">
      <w:pPr>
        <w:spacing w:after="0" w:line="240" w:lineRule="auto"/>
        <w:jc w:val="center"/>
        <w:rPr>
          <w:rFonts w:ascii="Times New Roman" w:hAnsi="Times New Roman" w:cs="Times New Roman"/>
          <w:b/>
          <w:sz w:val="24"/>
          <w:szCs w:val="24"/>
        </w:rPr>
      </w:pPr>
    </w:p>
    <w:p w:rsidR="009758AC" w:rsidRPr="00BD5BB8" w:rsidRDefault="009758AC" w:rsidP="009758AC">
      <w:pPr>
        <w:tabs>
          <w:tab w:val="center" w:pos="4536"/>
          <w:tab w:val="right" w:pos="9072"/>
        </w:tabs>
        <w:spacing w:after="0" w:line="240" w:lineRule="auto"/>
        <w:ind w:left="709"/>
        <w:jc w:val="center"/>
        <w:rPr>
          <w:rFonts w:ascii="Times New Roman" w:eastAsia="Calibri" w:hAnsi="Times New Roman" w:cs="Times New Roman"/>
          <w:b/>
          <w:bCs/>
          <w:sz w:val="24"/>
          <w:szCs w:val="24"/>
        </w:rPr>
      </w:pPr>
      <w:r w:rsidRPr="00BD5BB8">
        <w:rPr>
          <w:rFonts w:ascii="Times New Roman" w:eastAsia="Calibri" w:hAnsi="Times New Roman" w:cs="Times New Roman"/>
          <w:b/>
          <w:sz w:val="24"/>
        </w:rPr>
        <w:t xml:space="preserve">Мерки за адаптиране на пенсионната  система към застаряването на населението и ограничаване на бедността сред пенсионерите </w:t>
      </w:r>
    </w:p>
    <w:p w:rsidR="009758AC" w:rsidRPr="00BD5BB8" w:rsidRDefault="009758AC" w:rsidP="009758AC">
      <w:pPr>
        <w:spacing w:after="0" w:line="240" w:lineRule="auto"/>
        <w:ind w:firstLine="708"/>
        <w:jc w:val="both"/>
        <w:rPr>
          <w:rFonts w:ascii="Times New Roman" w:eastAsia="Calibri" w:hAnsi="Times New Roman" w:cs="Times New Roman"/>
          <w:bCs/>
          <w:sz w:val="24"/>
          <w:szCs w:val="24"/>
        </w:rPr>
      </w:pPr>
    </w:p>
    <w:p w:rsidR="009758AC" w:rsidRPr="00BD5BB8" w:rsidRDefault="009758AC" w:rsidP="009758AC">
      <w:pPr>
        <w:spacing w:after="0" w:line="240" w:lineRule="auto"/>
        <w:ind w:firstLine="708"/>
        <w:jc w:val="both"/>
        <w:rPr>
          <w:rFonts w:ascii="Times New Roman" w:eastAsia="Calibri" w:hAnsi="Times New Roman" w:cs="Times New Roman"/>
          <w:b/>
          <w:bCs/>
          <w:sz w:val="24"/>
          <w:szCs w:val="24"/>
        </w:rPr>
      </w:pPr>
      <w:r w:rsidRPr="00BD5BB8">
        <w:rPr>
          <w:rFonts w:ascii="Times New Roman" w:eastAsia="Calibri" w:hAnsi="Times New Roman" w:cs="Times New Roman"/>
          <w:b/>
          <w:bCs/>
          <w:sz w:val="24"/>
          <w:szCs w:val="24"/>
        </w:rPr>
        <w:t>По-важните законодателни промени в пенсионната система през 2017 г., които имат отражение върху продължителността на трудовото участие, размерите на пенсиите и финансовата стабилност на пенсионната система, са следните:</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sz w:val="24"/>
        </w:rPr>
      </w:pPr>
      <w:r w:rsidRPr="00BD5BB8">
        <w:rPr>
          <w:rFonts w:ascii="Times New Roman" w:eastAsia="Calibri" w:hAnsi="Times New Roman" w:cs="Times New Roman"/>
          <w:sz w:val="24"/>
          <w:szCs w:val="24"/>
        </w:rPr>
        <w:t>През 2017</w:t>
      </w:r>
      <w:r w:rsidR="00432E1A">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 xml:space="preserve">г. продължи повишаването на </w:t>
      </w:r>
      <w:r w:rsidRPr="00BD5BB8">
        <w:rPr>
          <w:rFonts w:ascii="Times New Roman" w:eastAsia="Calibri" w:hAnsi="Times New Roman" w:cs="Times New Roman"/>
          <w:sz w:val="24"/>
        </w:rPr>
        <w:t xml:space="preserve">изискуемите възраст и осигурителен стаж за придобиване право на пенсия за осигурителен стаж и възраст  по </w:t>
      </w:r>
      <w:r w:rsidRPr="00BD5BB8">
        <w:rPr>
          <w:rFonts w:ascii="Times New Roman" w:eastAsia="Calibri" w:hAnsi="Times New Roman" w:cs="Times New Roman"/>
          <w:b/>
          <w:sz w:val="24"/>
        </w:rPr>
        <w:t>чл. 68, ал. 1 и 2</w:t>
      </w:r>
      <w:r w:rsidRPr="00BD5BB8">
        <w:rPr>
          <w:rFonts w:ascii="Times New Roman" w:eastAsia="Calibri" w:hAnsi="Times New Roman" w:cs="Times New Roman"/>
          <w:sz w:val="24"/>
        </w:rPr>
        <w:t xml:space="preserve"> от КСО, които нараснаха с по два месеца. Мъжете придобиват право на пенсия при навършена възраст 64 години и 38 години и 4 месеца осигурителен стаж, а </w:t>
      </w:r>
      <w:r w:rsidRPr="00BD5BB8">
        <w:rPr>
          <w:rFonts w:ascii="Times New Roman" w:eastAsia="Calibri" w:hAnsi="Times New Roman" w:cs="Times New Roman"/>
          <w:bCs/>
          <w:sz w:val="24"/>
        </w:rPr>
        <w:t xml:space="preserve">жените при </w:t>
      </w:r>
      <w:r w:rsidRPr="00BD5BB8">
        <w:rPr>
          <w:rFonts w:ascii="Times New Roman" w:eastAsia="Calibri" w:hAnsi="Times New Roman" w:cs="Times New Roman"/>
          <w:sz w:val="24"/>
        </w:rPr>
        <w:t>навършена възраст 61 години и 35 години и 4 месеца осигурителен стаж.</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lastRenderedPageBreak/>
        <w:t>С два месеца спрямо предходната година се повиши изискуемата възраст за придобиване право на следните видове пенсии:</w:t>
      </w:r>
    </w:p>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r w:rsidRPr="00BD5BB8">
        <w:rPr>
          <w:rFonts w:ascii="Times New Roman" w:eastAsia="Calibri" w:hAnsi="Times New Roman" w:cs="Times New Roman"/>
          <w:sz w:val="24"/>
        </w:rPr>
        <w:t xml:space="preserve">по </w:t>
      </w:r>
      <w:r w:rsidRPr="00BD5BB8">
        <w:rPr>
          <w:rFonts w:ascii="Times New Roman" w:eastAsia="Calibri" w:hAnsi="Times New Roman" w:cs="Times New Roman"/>
          <w:b/>
          <w:bCs/>
          <w:sz w:val="24"/>
        </w:rPr>
        <w:t>чл. 68, ал. 3 от КСО</w:t>
      </w:r>
      <w:r w:rsidRPr="00BD5BB8">
        <w:rPr>
          <w:rFonts w:ascii="Times New Roman" w:eastAsia="Calibri" w:hAnsi="Times New Roman" w:cs="Times New Roman"/>
          <w:sz w:val="24"/>
        </w:rPr>
        <w:t xml:space="preserve"> (при наличие на 15 години действителен осигурителен стаж) и е 66 години за двата пола; </w:t>
      </w:r>
    </w:p>
    <w:p w:rsidR="009758AC" w:rsidRPr="00BD5BB8" w:rsidRDefault="009758AC" w:rsidP="009758AC">
      <w:pPr>
        <w:numPr>
          <w:ilvl w:val="0"/>
          <w:numId w:val="2"/>
        </w:numPr>
        <w:tabs>
          <w:tab w:val="center" w:pos="4536"/>
          <w:tab w:val="right" w:pos="9072"/>
        </w:tabs>
        <w:spacing w:after="0" w:line="240" w:lineRule="auto"/>
        <w:jc w:val="both"/>
        <w:rPr>
          <w:rFonts w:ascii="Calibri" w:eastAsia="Calibri" w:hAnsi="Calibri" w:cs="Times New Roman"/>
        </w:rPr>
      </w:pPr>
      <w:r w:rsidRPr="00BD5BB8">
        <w:rPr>
          <w:rFonts w:ascii="Times New Roman" w:eastAsia="Times New Roman" w:hAnsi="Times New Roman" w:cs="Times New Roman"/>
          <w:sz w:val="24"/>
          <w:szCs w:val="24"/>
          <w:lang w:eastAsia="zh-CN"/>
        </w:rPr>
        <w:t xml:space="preserve">по </w:t>
      </w:r>
      <w:r w:rsidRPr="00BD5BB8">
        <w:rPr>
          <w:rFonts w:ascii="Times New Roman" w:eastAsia="Times New Roman" w:hAnsi="Times New Roman" w:cs="Times New Roman"/>
          <w:b/>
          <w:sz w:val="24"/>
          <w:szCs w:val="24"/>
          <w:lang w:eastAsia="zh-CN"/>
        </w:rPr>
        <w:t>чл. 69, ал. 1, 2, 3, 5, 5а и 6</w:t>
      </w:r>
      <w:r w:rsidRPr="00BD5BB8">
        <w:rPr>
          <w:rFonts w:ascii="Times New Roman" w:eastAsia="Times New Roman" w:hAnsi="Times New Roman" w:cs="Times New Roman"/>
          <w:sz w:val="24"/>
          <w:szCs w:val="24"/>
          <w:lang w:eastAsia="zh-CN"/>
        </w:rPr>
        <w:t xml:space="preserve"> от КСО (полицаи, военни и др.) </w:t>
      </w:r>
      <w:r w:rsidR="00257BF7" w:rsidRPr="00BD5BB8">
        <w:rPr>
          <w:rFonts w:ascii="Times New Roman" w:eastAsia="Times New Roman" w:hAnsi="Times New Roman" w:cs="Times New Roman"/>
          <w:sz w:val="24"/>
          <w:szCs w:val="24"/>
          <w:lang w:eastAsia="zh-CN"/>
        </w:rPr>
        <w:t xml:space="preserve">– </w:t>
      </w:r>
      <w:r w:rsidRPr="00BD5BB8">
        <w:rPr>
          <w:rFonts w:ascii="Times New Roman" w:eastAsia="Times New Roman" w:hAnsi="Times New Roman" w:cs="Times New Roman"/>
          <w:sz w:val="24"/>
          <w:szCs w:val="24"/>
          <w:lang w:eastAsia="zh-CN"/>
        </w:rPr>
        <w:t>53 години;</w:t>
      </w:r>
    </w:p>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по </w:t>
      </w:r>
      <w:r w:rsidRPr="00BD5BB8">
        <w:rPr>
          <w:rFonts w:ascii="Times New Roman" w:eastAsia="Times New Roman" w:hAnsi="Times New Roman" w:cs="Times New Roman"/>
          <w:b/>
          <w:sz w:val="24"/>
          <w:szCs w:val="24"/>
          <w:lang w:eastAsia="zh-CN"/>
        </w:rPr>
        <w:t>чл. 69, ал. 4 и 7</w:t>
      </w:r>
      <w:r w:rsidRPr="00BD5BB8">
        <w:rPr>
          <w:rFonts w:ascii="Calibri" w:eastAsia="Calibri" w:hAnsi="Calibri" w:cs="Times New Roman"/>
          <w:b/>
          <w:bCs/>
        </w:rPr>
        <w:t xml:space="preserve"> </w:t>
      </w:r>
      <w:r w:rsidRPr="00BD5BB8">
        <w:rPr>
          <w:rFonts w:ascii="Times New Roman" w:eastAsia="Times New Roman" w:hAnsi="Times New Roman" w:cs="Times New Roman"/>
          <w:sz w:val="24"/>
          <w:szCs w:val="24"/>
          <w:lang w:eastAsia="zh-CN"/>
        </w:rPr>
        <w:t xml:space="preserve">(водолази, парашутисти, летци и др., по определени закони и в определени ведомства) </w:t>
      </w:r>
      <w:r w:rsidR="00257BF7" w:rsidRPr="00BD5BB8">
        <w:rPr>
          <w:rFonts w:ascii="Times New Roman" w:eastAsia="Times New Roman" w:hAnsi="Times New Roman" w:cs="Times New Roman"/>
          <w:sz w:val="24"/>
          <w:szCs w:val="24"/>
          <w:lang w:eastAsia="zh-CN"/>
        </w:rPr>
        <w:t xml:space="preserve">– </w:t>
      </w:r>
      <w:r w:rsidRPr="00BD5BB8">
        <w:rPr>
          <w:rFonts w:ascii="Times New Roman" w:eastAsia="Times New Roman" w:hAnsi="Times New Roman" w:cs="Times New Roman"/>
          <w:sz w:val="24"/>
          <w:szCs w:val="24"/>
          <w:lang w:eastAsia="zh-CN"/>
        </w:rPr>
        <w:t xml:space="preserve">43 години; </w:t>
      </w:r>
    </w:p>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по </w:t>
      </w:r>
      <w:r w:rsidRPr="00BD5BB8">
        <w:rPr>
          <w:rFonts w:ascii="Times New Roman" w:eastAsia="Times New Roman" w:hAnsi="Times New Roman" w:cs="Times New Roman"/>
          <w:b/>
          <w:sz w:val="24"/>
          <w:szCs w:val="24"/>
          <w:lang w:eastAsia="zh-CN"/>
        </w:rPr>
        <w:t>чл. 69а от КСО</w:t>
      </w:r>
      <w:r w:rsidRPr="00BD5BB8">
        <w:rPr>
          <w:rFonts w:ascii="Times New Roman" w:eastAsia="Times New Roman" w:hAnsi="Times New Roman" w:cs="Times New Roman"/>
          <w:sz w:val="24"/>
          <w:szCs w:val="24"/>
          <w:lang w:eastAsia="zh-CN"/>
        </w:rPr>
        <w:t xml:space="preserve"> (балерини, балетисти и танцьори в културни организации) през 2017 г. е 43 години; </w:t>
      </w:r>
    </w:p>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bookmarkStart w:id="1" w:name="_Hlk21609378"/>
      <w:r w:rsidRPr="00BD5BB8">
        <w:rPr>
          <w:rFonts w:ascii="Times New Roman" w:eastAsia="Times New Roman" w:hAnsi="Times New Roman" w:cs="Times New Roman"/>
          <w:sz w:val="24"/>
          <w:szCs w:val="24"/>
          <w:lang w:eastAsia="zh-CN"/>
        </w:rPr>
        <w:t xml:space="preserve">за лица с придобит осигурителен стаж в условията на първа и втора категория труд по </w:t>
      </w:r>
      <w:bookmarkEnd w:id="1"/>
      <w:r w:rsidRPr="00BD5BB8">
        <w:rPr>
          <w:rFonts w:ascii="Times New Roman" w:eastAsia="Times New Roman" w:hAnsi="Times New Roman" w:cs="Times New Roman"/>
          <w:b/>
          <w:sz w:val="24"/>
          <w:szCs w:val="24"/>
          <w:lang w:eastAsia="zh-CN"/>
        </w:rPr>
        <w:t>чл. 69б от КСО</w:t>
      </w:r>
      <w:r w:rsidRPr="00BD5BB8">
        <w:rPr>
          <w:rFonts w:ascii="Calibri" w:eastAsia="Calibri" w:hAnsi="Calibri" w:cs="Times New Roman"/>
          <w:b/>
          <w:bCs/>
        </w:rPr>
        <w:t xml:space="preserve"> </w:t>
      </w:r>
      <w:r w:rsidRPr="00BD5BB8">
        <w:rPr>
          <w:rFonts w:ascii="Times New Roman" w:eastAsia="Calibri" w:hAnsi="Times New Roman" w:cs="Times New Roman"/>
          <w:sz w:val="24"/>
          <w:szCs w:val="24"/>
        </w:rPr>
        <w:t xml:space="preserve">(с изключение на изискуемата възраст по чл. 69б, ал. 1 и 2 за жените, която се повиши с четири месеца) </w:t>
      </w:r>
      <w:bookmarkStart w:id="2" w:name="_Hlk22631235"/>
      <w:r w:rsidRPr="00BD5BB8">
        <w:rPr>
          <w:rFonts w:ascii="Times New Roman" w:eastAsia="Calibri" w:hAnsi="Times New Roman" w:cs="Times New Roman"/>
          <w:sz w:val="24"/>
          <w:szCs w:val="24"/>
        </w:rPr>
        <w:t xml:space="preserve">– изискващата се навършена възраст е съответно: жени първа категория труд – 48 г. и 4 м. и втора категория труд – 53 г. и 4 м., а за мъжете първа категория труд – 53 г. и втора категория труд – 58 г.; </w:t>
      </w:r>
    </w:p>
    <w:bookmarkEnd w:id="2"/>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за учителите </w:t>
      </w:r>
      <w:r w:rsidRPr="00BD5BB8">
        <w:rPr>
          <w:rFonts w:ascii="Times New Roman" w:eastAsia="Times New Roman" w:hAnsi="Times New Roman" w:cs="Times New Roman"/>
          <w:b/>
          <w:sz w:val="24"/>
          <w:szCs w:val="24"/>
          <w:lang w:eastAsia="zh-CN"/>
        </w:rPr>
        <w:t>по чл. 69в, ал. 1 от КСО</w:t>
      </w:r>
      <w:r w:rsidRPr="00BD5BB8">
        <w:rPr>
          <w:rFonts w:ascii="Times New Roman" w:eastAsia="Times New Roman" w:hAnsi="Times New Roman" w:cs="Times New Roman"/>
          <w:sz w:val="24"/>
          <w:szCs w:val="24"/>
          <w:lang w:eastAsia="zh-CN"/>
        </w:rPr>
        <w:t xml:space="preserve"> </w:t>
      </w:r>
      <w:bookmarkStart w:id="3" w:name="_Hlk21609617"/>
      <w:r w:rsidRPr="00BD5BB8">
        <w:rPr>
          <w:rFonts w:ascii="Times New Roman" w:eastAsia="Times New Roman" w:hAnsi="Times New Roman" w:cs="Times New Roman"/>
          <w:sz w:val="24"/>
          <w:szCs w:val="24"/>
          <w:lang w:eastAsia="zh-CN"/>
        </w:rPr>
        <w:t xml:space="preserve">възрастта за пенсиониране нарасна с два месеца за жените и е </w:t>
      </w:r>
      <w:bookmarkEnd w:id="3"/>
      <w:r w:rsidRPr="00BD5BB8">
        <w:rPr>
          <w:rFonts w:ascii="Times New Roman" w:eastAsia="Times New Roman" w:hAnsi="Times New Roman" w:cs="Times New Roman"/>
          <w:sz w:val="24"/>
          <w:szCs w:val="24"/>
          <w:lang w:eastAsia="zh-CN"/>
        </w:rPr>
        <w:t xml:space="preserve">58 години и с един месец за мъжете и е 61 години. </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Calibri" w:hAnsi="Times New Roman" w:cs="Times New Roman"/>
          <w:sz w:val="24"/>
          <w:szCs w:val="24"/>
        </w:rPr>
        <w:t>От 1 януари 2017 г. за новоотпуснатите пенсии процентът за всяка година осигурителен стаж в пенсионната формула се увеличи от 1,1 на 1,126 с процент, определен по правилото на чл. 100 от КСО (2,36 на сто).</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 Минималният размер на пенсията за осигурителен стаж и възраст по чл. 68, ал. 1 от КСО през 2017 г., съгласно чл. 10 от Закона за бюджета на Държавното обществено осигуряване за 2017 г., е в следните размери:</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от 1 януари до 30 юни – 161,38 лв.</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от 1 юли до 30 септември – 180 лв.</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от 1 септември до 31 декември – 200 лв.</w:t>
      </w:r>
    </w:p>
    <w:p w:rsidR="009758AC" w:rsidRPr="00BD5BB8" w:rsidRDefault="009758AC" w:rsidP="009758AC">
      <w:pPr>
        <w:tabs>
          <w:tab w:val="left" w:pos="1100"/>
        </w:tabs>
        <w:spacing w:after="0" w:line="240" w:lineRule="auto"/>
        <w:ind w:left="709"/>
        <w:jc w:val="both"/>
        <w:rPr>
          <w:rFonts w:ascii="Times New Roman" w:eastAsia="Times New Roman" w:hAnsi="Times New Roman" w:cs="Times New Roman"/>
          <w:sz w:val="24"/>
          <w:szCs w:val="24"/>
          <w:lang w:eastAsia="zh-CN"/>
        </w:rPr>
      </w:pPr>
      <w:bookmarkStart w:id="4" w:name="_Hlk21681959"/>
      <w:r w:rsidRPr="00BD5BB8">
        <w:rPr>
          <w:rFonts w:ascii="Times New Roman" w:eastAsia="Times New Roman" w:hAnsi="Times New Roman" w:cs="Times New Roman"/>
          <w:sz w:val="24"/>
          <w:szCs w:val="24"/>
          <w:lang w:eastAsia="zh-CN"/>
        </w:rPr>
        <w:t xml:space="preserve">Повишиха се също и </w:t>
      </w:r>
      <w:r w:rsidRPr="00BD5BB8">
        <w:rPr>
          <w:rFonts w:ascii="Times New Roman" w:eastAsia="Calibri" w:hAnsi="Times New Roman" w:cs="Times New Roman"/>
          <w:sz w:val="24"/>
          <w:szCs w:val="24"/>
        </w:rPr>
        <w:t>минималните размери и на пенсиите, които се определят в процент от тази за ОСВ - пенсията за осигурителен стаж и възраст при непълен осигурителен стаж (чл. 68, ал. 3 от КСО), за инвалидност поради общо заболяване и на пенсията за инвалидност поради трудова злополука и професионална болест.</w:t>
      </w:r>
    </w:p>
    <w:bookmarkEnd w:id="4"/>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От 1 юли 2017 г. бяха преизчислени всички пенсии за трудова дейност, отпуснати с начална дата до 31 декември 2016 г., като всяка година осигурителен стаж и съответната пропорционална част за месеците осигурителен стаж беше умножена с процента, определен в чл. 11 от ЗБДОО за 2017 г. – 1,126.  </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На основание Постановление на Министерски съвет №116 от 22.06.2017 г. размерът на социалната пенсия за старост от 1 юли 2017 г. се промени от 118,14 лв. на 120,98 лв. месечно. Вследствие на това нараснаха също и минималните размери на п</w:t>
      </w:r>
      <w:r w:rsidRPr="00BD5BB8">
        <w:rPr>
          <w:rFonts w:ascii="Times New Roman" w:eastAsia="Calibri" w:hAnsi="Times New Roman" w:cs="Times New Roman"/>
          <w:sz w:val="24"/>
          <w:szCs w:val="24"/>
        </w:rPr>
        <w:t>енсиите за военна и гражданска инвалидност и социалната пенсия за инвалидност, които се определят в процент от социалната пенсия за старост в зависимост от намалената работоспособност на лицата.</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През 2017 г. Министерският съвет одобри на два пъти изплащането на еднократни допълнителни суми към пенсиите, както следва:</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 xml:space="preserve">С Постановление на Министерския съвет №47 от 8 март 2017 г. е одобрен допълнителен трансфер в размер 51,5 млн. лв. по бюджета на ДОО за 2017 г. за еднократно изплащане на допълнителна сума към пенсиите за м. април 2017 г. Допълнителната сума е в размер 40 лв. и се изплати на пенсионерите, на които пенсията или сборът от пенсиите заедно с добавките и </w:t>
      </w:r>
      <w:r w:rsidRPr="00BD5BB8">
        <w:rPr>
          <w:rFonts w:ascii="Times New Roman" w:eastAsia="Calibri" w:hAnsi="Times New Roman" w:cs="Times New Roman"/>
          <w:bCs/>
          <w:sz w:val="24"/>
          <w:szCs w:val="24"/>
        </w:rPr>
        <w:lastRenderedPageBreak/>
        <w:t>компенсациите към тях за м. април 2017 г. е в размер до 314 лв. включително.</w:t>
      </w:r>
      <w:r w:rsidRPr="00BD5BB8">
        <w:rPr>
          <w:rFonts w:ascii="Times New Roman" w:eastAsia="Calibri" w:hAnsi="Times New Roman" w:cs="Times New Roman"/>
          <w:sz w:val="24"/>
          <w:szCs w:val="24"/>
        </w:rPr>
        <w:t xml:space="preserve"> Броят на пенсионерите, получили „великденска“ добавка е 1 262 000.</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С Постановление на Министерския съвет № 253 от 16 ноември 2017 г. е одобрен допълнителен трансфер в размер 49,3 млн. лв. по бюджета на ДОО за 2017 г. за еднократно изплащане на допълнителна сума към пенсиите за м. декември 2017 г. Допълнителната сума е в размер 40 лв. и се изплати на пенсионерите, на които пенсията или сборът от пенсиите заедно с добавките и компенсациите към тях за м. декември 2017 г. е в размер до 321</w:t>
      </w:r>
      <w:r w:rsidR="00432E1A">
        <w:rPr>
          <w:rFonts w:ascii="Times New Roman" w:eastAsia="Calibri" w:hAnsi="Times New Roman" w:cs="Times New Roman"/>
          <w:bCs/>
          <w:sz w:val="24"/>
          <w:szCs w:val="24"/>
        </w:rPr>
        <w:t>.</w:t>
      </w:r>
      <w:r w:rsidRPr="00BD5BB8">
        <w:rPr>
          <w:rFonts w:ascii="Times New Roman" w:eastAsia="Calibri" w:hAnsi="Times New Roman" w:cs="Times New Roman"/>
          <w:bCs/>
          <w:sz w:val="24"/>
          <w:szCs w:val="24"/>
        </w:rPr>
        <w:t>00 лв. включително.</w:t>
      </w:r>
      <w:r w:rsidRPr="00BD5BB8">
        <w:rPr>
          <w:rFonts w:ascii="Calibri" w:eastAsia="Calibri" w:hAnsi="Calibri" w:cs="Times New Roman"/>
        </w:rPr>
        <w:t xml:space="preserve"> </w:t>
      </w:r>
      <w:r w:rsidRPr="00BD5BB8">
        <w:rPr>
          <w:rFonts w:ascii="Times New Roman" w:eastAsia="Calibri" w:hAnsi="Times New Roman" w:cs="Times New Roman"/>
          <w:sz w:val="24"/>
          <w:szCs w:val="24"/>
        </w:rPr>
        <w:t>Броят на пенсионерите, получили „коледна“ добавка е 1 207 782.</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color w:val="000000"/>
          <w:sz w:val="24"/>
          <w:szCs w:val="24"/>
          <w:lang w:eastAsia="bg-BG"/>
        </w:rPr>
      </w:pPr>
      <w:r w:rsidRPr="00BD5BB8">
        <w:rPr>
          <w:rFonts w:ascii="Times New Roman" w:eastAsia="Calibri" w:hAnsi="Times New Roman" w:cs="Times New Roman"/>
          <w:color w:val="000000"/>
          <w:sz w:val="24"/>
          <w:szCs w:val="24"/>
          <w:lang w:eastAsia="bg-BG"/>
        </w:rPr>
        <w:t xml:space="preserve">От </w:t>
      </w:r>
      <w:r w:rsidRPr="00BD5BB8">
        <w:rPr>
          <w:rFonts w:ascii="Times New Roman" w:eastAsia="Calibri" w:hAnsi="Times New Roman" w:cs="Times New Roman"/>
          <w:sz w:val="24"/>
        </w:rPr>
        <w:t xml:space="preserve">01.01.2017 г. </w:t>
      </w:r>
      <w:r w:rsidRPr="00BD5BB8">
        <w:rPr>
          <w:rFonts w:ascii="Times New Roman" w:eastAsia="Calibri" w:hAnsi="Times New Roman" w:cs="Times New Roman"/>
          <w:color w:val="000000"/>
          <w:sz w:val="24"/>
          <w:szCs w:val="24"/>
          <w:lang w:eastAsia="bg-BG"/>
        </w:rPr>
        <w:t>размерът на осигурителната вноска за фонд „Пенсии“ се увеличи с 1 процентен пункт, от който 0</w:t>
      </w:r>
      <w:r w:rsidR="00432E1A">
        <w:rPr>
          <w:rFonts w:ascii="Times New Roman" w:eastAsia="Calibri" w:hAnsi="Times New Roman" w:cs="Times New Roman"/>
          <w:color w:val="000000"/>
          <w:sz w:val="24"/>
          <w:szCs w:val="24"/>
          <w:lang w:eastAsia="bg-BG"/>
        </w:rPr>
        <w:t>.</w:t>
      </w:r>
      <w:r w:rsidRPr="00BD5BB8">
        <w:rPr>
          <w:rFonts w:ascii="Times New Roman" w:eastAsia="Calibri" w:hAnsi="Times New Roman" w:cs="Times New Roman"/>
          <w:color w:val="000000"/>
          <w:sz w:val="24"/>
          <w:szCs w:val="24"/>
          <w:lang w:eastAsia="bg-BG"/>
        </w:rPr>
        <w:t>56 на сто са за сметка на осигурителя, а 0</w:t>
      </w:r>
      <w:r w:rsidR="00432E1A">
        <w:rPr>
          <w:rFonts w:ascii="Times New Roman" w:eastAsia="Calibri" w:hAnsi="Times New Roman" w:cs="Times New Roman"/>
          <w:color w:val="000000"/>
          <w:sz w:val="24"/>
          <w:szCs w:val="24"/>
          <w:lang w:eastAsia="bg-BG"/>
        </w:rPr>
        <w:t>.</w:t>
      </w:r>
      <w:r w:rsidRPr="00BD5BB8">
        <w:rPr>
          <w:rFonts w:ascii="Times New Roman" w:eastAsia="Calibri" w:hAnsi="Times New Roman" w:cs="Times New Roman"/>
          <w:color w:val="000000"/>
          <w:sz w:val="24"/>
          <w:szCs w:val="24"/>
          <w:lang w:eastAsia="bg-BG"/>
        </w:rPr>
        <w:t xml:space="preserve">44 за сметка на осигуреното лице. Това повишение беше заложено още през 2015 г. с промени в чл. 6 от КСО (ДВ, бр. 61 от 2015 г.). </w:t>
      </w:r>
    </w:p>
    <w:p w:rsidR="009758AC" w:rsidRPr="00BD5BB8" w:rsidRDefault="009758AC" w:rsidP="009758AC">
      <w:pPr>
        <w:numPr>
          <w:ilvl w:val="0"/>
          <w:numId w:val="1"/>
        </w:numPr>
        <w:tabs>
          <w:tab w:val="clear" w:pos="1778"/>
          <w:tab w:val="left" w:pos="1100"/>
          <w:tab w:val="num" w:pos="1495"/>
        </w:tabs>
        <w:spacing w:after="0" w:line="240" w:lineRule="auto"/>
        <w:ind w:left="0" w:firstLine="708"/>
        <w:jc w:val="both"/>
        <w:rPr>
          <w:rFonts w:ascii="Times New Roman" w:eastAsia="Calibri" w:hAnsi="Times New Roman" w:cs="Times New Roman"/>
          <w:sz w:val="24"/>
        </w:rPr>
      </w:pPr>
      <w:r w:rsidRPr="00BD5BB8">
        <w:rPr>
          <w:rFonts w:ascii="Times New Roman" w:eastAsia="Calibri" w:hAnsi="Times New Roman" w:cs="Times New Roman"/>
          <w:sz w:val="24"/>
        </w:rPr>
        <w:t xml:space="preserve">От </w:t>
      </w:r>
      <w:r w:rsidRPr="00BD5BB8">
        <w:rPr>
          <w:rFonts w:ascii="Times New Roman" w:eastAsia="Calibri" w:hAnsi="Times New Roman" w:cs="Times New Roman"/>
          <w:color w:val="000000"/>
          <w:sz w:val="24"/>
          <w:szCs w:val="24"/>
          <w:lang w:eastAsia="bg-BG"/>
        </w:rPr>
        <w:t xml:space="preserve">началото на 2017 г. </w:t>
      </w:r>
      <w:r w:rsidRPr="00BD5BB8">
        <w:rPr>
          <w:rFonts w:ascii="Times New Roman" w:eastAsia="Calibri" w:hAnsi="Times New Roman" w:cs="Times New Roman"/>
          <w:sz w:val="24"/>
        </w:rPr>
        <w:t>осигурителната вноска за фонд „Пенсии за лицата по чл. 69“ се увеличи с 20 процентни пункта – от 40</w:t>
      </w:r>
      <w:r w:rsidR="00432E1A">
        <w:rPr>
          <w:rFonts w:ascii="Times New Roman" w:eastAsia="Calibri" w:hAnsi="Times New Roman" w:cs="Times New Roman"/>
          <w:sz w:val="24"/>
        </w:rPr>
        <w:t>.</w:t>
      </w:r>
      <w:r w:rsidRPr="00BD5BB8">
        <w:rPr>
          <w:rFonts w:ascii="Times New Roman" w:eastAsia="Calibri" w:hAnsi="Times New Roman" w:cs="Times New Roman"/>
          <w:sz w:val="24"/>
        </w:rPr>
        <w:t>8 на сто на 60</w:t>
      </w:r>
      <w:r w:rsidR="00432E1A">
        <w:rPr>
          <w:rFonts w:ascii="Times New Roman" w:eastAsia="Calibri" w:hAnsi="Times New Roman" w:cs="Times New Roman"/>
          <w:sz w:val="24"/>
        </w:rPr>
        <w:t>.</w:t>
      </w:r>
      <w:r w:rsidRPr="00BD5BB8">
        <w:rPr>
          <w:rFonts w:ascii="Times New Roman" w:eastAsia="Calibri" w:hAnsi="Times New Roman" w:cs="Times New Roman"/>
          <w:sz w:val="24"/>
        </w:rPr>
        <w:t>8 на сто за родените преди 1 януари 1960 г., и от 35</w:t>
      </w:r>
      <w:r w:rsidR="00432E1A">
        <w:rPr>
          <w:rFonts w:ascii="Times New Roman" w:eastAsia="Calibri" w:hAnsi="Times New Roman" w:cs="Times New Roman"/>
          <w:sz w:val="24"/>
        </w:rPr>
        <w:t>.</w:t>
      </w:r>
      <w:r w:rsidRPr="00BD5BB8">
        <w:rPr>
          <w:rFonts w:ascii="Times New Roman" w:eastAsia="Calibri" w:hAnsi="Times New Roman" w:cs="Times New Roman"/>
          <w:sz w:val="24"/>
        </w:rPr>
        <w:t>8 на сто на 55</w:t>
      </w:r>
      <w:r w:rsidR="00432E1A">
        <w:rPr>
          <w:rFonts w:ascii="Times New Roman" w:eastAsia="Calibri" w:hAnsi="Times New Roman" w:cs="Times New Roman"/>
          <w:sz w:val="24"/>
        </w:rPr>
        <w:t>.</w:t>
      </w:r>
      <w:r w:rsidRPr="00BD5BB8">
        <w:rPr>
          <w:rFonts w:ascii="Times New Roman" w:eastAsia="Calibri" w:hAnsi="Times New Roman" w:cs="Times New Roman"/>
          <w:sz w:val="24"/>
        </w:rPr>
        <w:t xml:space="preserve">8 на сто за лицата родени след 31 декември 1959 г. </w:t>
      </w:r>
    </w:p>
    <w:p w:rsidR="009758AC" w:rsidRPr="00BD5BB8" w:rsidRDefault="009758AC" w:rsidP="009758AC">
      <w:pPr>
        <w:tabs>
          <w:tab w:val="left" w:pos="1100"/>
        </w:tabs>
        <w:spacing w:after="0" w:line="240" w:lineRule="auto"/>
        <w:ind w:left="709"/>
        <w:jc w:val="both"/>
        <w:rPr>
          <w:rFonts w:ascii="Times New Roman" w:eastAsia="Times New Roman" w:hAnsi="Times New Roman" w:cs="Times New Roman"/>
          <w:sz w:val="24"/>
          <w:szCs w:val="24"/>
          <w:lang w:eastAsia="zh-CN"/>
        </w:rPr>
      </w:pPr>
    </w:p>
    <w:p w:rsidR="009758AC" w:rsidRPr="00BD5BB8" w:rsidRDefault="009758AC" w:rsidP="009758AC">
      <w:pPr>
        <w:spacing w:after="0" w:line="240" w:lineRule="auto"/>
        <w:ind w:firstLine="708"/>
        <w:jc w:val="both"/>
        <w:rPr>
          <w:rFonts w:ascii="Times New Roman" w:eastAsia="Calibri" w:hAnsi="Times New Roman" w:cs="Times New Roman"/>
          <w:b/>
          <w:bCs/>
          <w:sz w:val="24"/>
          <w:szCs w:val="24"/>
        </w:rPr>
      </w:pPr>
      <w:r w:rsidRPr="00BD5BB8">
        <w:rPr>
          <w:rFonts w:ascii="Times New Roman" w:eastAsia="Calibri" w:hAnsi="Times New Roman" w:cs="Times New Roman"/>
          <w:b/>
          <w:bCs/>
          <w:sz w:val="24"/>
          <w:szCs w:val="24"/>
        </w:rPr>
        <w:t>По-важните промени в пенсионната система през 2018 г., насочени към удължаване на трудовото участие, размерите на пенсиите и финансовата стабилност на пенсионната система, са следните:</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bCs/>
          <w:sz w:val="24"/>
        </w:rPr>
      </w:pPr>
      <w:r w:rsidRPr="00BD5BB8">
        <w:rPr>
          <w:rFonts w:ascii="Times New Roman" w:eastAsia="Calibri" w:hAnsi="Times New Roman" w:cs="Times New Roman"/>
          <w:sz w:val="24"/>
          <w:szCs w:val="24"/>
        </w:rPr>
        <w:t xml:space="preserve">И през 2018 г. продължи повишаването на изискуемия за отпускане на пенсия по </w:t>
      </w:r>
      <w:r w:rsidRPr="00BD5BB8">
        <w:rPr>
          <w:rFonts w:ascii="Times New Roman" w:eastAsia="Calibri" w:hAnsi="Times New Roman" w:cs="Times New Roman"/>
          <w:b/>
          <w:sz w:val="24"/>
          <w:szCs w:val="24"/>
        </w:rPr>
        <w:t>чл. 68, ал. 1-2 от КСО</w:t>
      </w:r>
      <w:r w:rsidRPr="00BD5BB8">
        <w:rPr>
          <w:rFonts w:ascii="Times New Roman" w:eastAsia="Calibri" w:hAnsi="Times New Roman" w:cs="Times New Roman"/>
          <w:sz w:val="24"/>
          <w:szCs w:val="24"/>
        </w:rPr>
        <w:t xml:space="preserve"> осигурителен стаж и на изискуемата възраст на всички видове пенсии за ОСВ. </w:t>
      </w:r>
      <w:r w:rsidRPr="00BD5BB8">
        <w:rPr>
          <w:rFonts w:ascii="Times New Roman" w:eastAsia="Calibri" w:hAnsi="Times New Roman" w:cs="Times New Roman"/>
          <w:bCs/>
          <w:sz w:val="24"/>
        </w:rPr>
        <w:t>За мъжете възрастта нарасна с един месец и е 64 години и 1 месец, а осигурителният стаж с два месеца и е 38 години и 6 месеца осигурителен стаж. За жените, както изискващата се възраст, така и необходимия осигурителен стаж бяха повишени с два месеца до навършена възраст 61 години и 2 месеца и придобит осигурителен 35 години и 6 месеца осигурителен стаж.</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bCs/>
          <w:sz w:val="24"/>
        </w:rPr>
      </w:pPr>
      <w:r w:rsidRPr="00BD5BB8">
        <w:rPr>
          <w:rFonts w:ascii="Times New Roman" w:eastAsia="Calibri" w:hAnsi="Times New Roman" w:cs="Times New Roman"/>
          <w:sz w:val="24"/>
          <w:szCs w:val="24"/>
        </w:rPr>
        <w:t>С два месеца спрямо предходната година се повиши изискуемата възраст за придобиване право на следните видове пенсии:</w:t>
      </w:r>
    </w:p>
    <w:p w:rsidR="009758AC" w:rsidRPr="00BD5BB8" w:rsidRDefault="009758AC" w:rsidP="009758AC">
      <w:pPr>
        <w:numPr>
          <w:ilvl w:val="0"/>
          <w:numId w:val="2"/>
        </w:numPr>
        <w:spacing w:after="0" w:line="240" w:lineRule="auto"/>
        <w:jc w:val="both"/>
        <w:rPr>
          <w:rFonts w:ascii="Times New Roman" w:eastAsia="Times New Roman" w:hAnsi="Times New Roman" w:cs="Times New Roman"/>
          <w:sz w:val="24"/>
          <w:szCs w:val="24"/>
          <w:lang w:eastAsia="zh-CN"/>
        </w:rPr>
      </w:pPr>
      <w:r w:rsidRPr="00BD5BB8">
        <w:rPr>
          <w:rFonts w:ascii="Times New Roman" w:eastAsia="Calibri" w:hAnsi="Times New Roman" w:cs="Times New Roman"/>
          <w:bCs/>
          <w:sz w:val="24"/>
          <w:szCs w:val="24"/>
        </w:rPr>
        <w:t>по</w:t>
      </w:r>
      <w:r w:rsidRPr="00BD5BB8">
        <w:rPr>
          <w:rFonts w:ascii="Times New Roman" w:eastAsia="Times New Roman" w:hAnsi="Times New Roman" w:cs="Times New Roman"/>
          <w:sz w:val="24"/>
          <w:szCs w:val="24"/>
          <w:lang w:eastAsia="zh-CN"/>
        </w:rPr>
        <w:t xml:space="preserve"> </w:t>
      </w:r>
      <w:r w:rsidRPr="00BD5BB8">
        <w:rPr>
          <w:rFonts w:ascii="Times New Roman" w:eastAsia="Times New Roman" w:hAnsi="Times New Roman" w:cs="Times New Roman"/>
          <w:b/>
          <w:bCs/>
          <w:sz w:val="24"/>
          <w:szCs w:val="24"/>
          <w:lang w:eastAsia="zh-CN"/>
        </w:rPr>
        <w:t>чл. 68, ал. 3 от КСО</w:t>
      </w:r>
      <w:r w:rsidRPr="00BD5BB8">
        <w:rPr>
          <w:rFonts w:ascii="Times New Roman" w:eastAsia="Times New Roman" w:hAnsi="Times New Roman" w:cs="Times New Roman"/>
          <w:sz w:val="24"/>
          <w:szCs w:val="24"/>
          <w:lang w:eastAsia="zh-CN"/>
        </w:rPr>
        <w:t xml:space="preserve"> (при наличие на 15 години действителен осигурителен стаж) и е 66 години и 2 месеца за жените и мъжете;</w:t>
      </w:r>
    </w:p>
    <w:p w:rsidR="009758AC" w:rsidRPr="00BD5BB8" w:rsidRDefault="009758AC" w:rsidP="009758AC">
      <w:pPr>
        <w:numPr>
          <w:ilvl w:val="0"/>
          <w:numId w:val="2"/>
        </w:numPr>
        <w:spacing w:after="0" w:line="240" w:lineRule="auto"/>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по </w:t>
      </w:r>
      <w:r w:rsidRPr="00BD5BB8">
        <w:rPr>
          <w:rFonts w:ascii="Times New Roman" w:eastAsia="Times New Roman" w:hAnsi="Times New Roman" w:cs="Times New Roman"/>
          <w:b/>
          <w:sz w:val="24"/>
          <w:szCs w:val="24"/>
          <w:lang w:eastAsia="zh-CN"/>
        </w:rPr>
        <w:t>чл. 69, ал. 1, 2, 3, 5, 5а и 6</w:t>
      </w:r>
      <w:r w:rsidRPr="00BD5BB8">
        <w:rPr>
          <w:rFonts w:ascii="Times New Roman" w:eastAsia="Times New Roman" w:hAnsi="Times New Roman" w:cs="Times New Roman"/>
          <w:sz w:val="24"/>
          <w:szCs w:val="24"/>
          <w:lang w:eastAsia="zh-CN"/>
        </w:rPr>
        <w:t xml:space="preserve"> </w:t>
      </w:r>
      <w:r w:rsidRPr="00BD5BB8">
        <w:rPr>
          <w:rFonts w:ascii="Times New Roman" w:eastAsia="Times New Roman" w:hAnsi="Times New Roman" w:cs="Times New Roman"/>
          <w:b/>
          <w:sz w:val="24"/>
          <w:szCs w:val="24"/>
          <w:lang w:eastAsia="zh-CN"/>
        </w:rPr>
        <w:t>от КСО</w:t>
      </w:r>
      <w:r w:rsidRPr="00BD5BB8">
        <w:rPr>
          <w:rFonts w:ascii="Times New Roman" w:eastAsia="Times New Roman" w:hAnsi="Times New Roman" w:cs="Times New Roman"/>
          <w:sz w:val="24"/>
          <w:szCs w:val="24"/>
          <w:lang w:eastAsia="zh-CN"/>
        </w:rPr>
        <w:t xml:space="preserve"> и през 2018 г. е 53 години и 2 месеца, а за пенсия по </w:t>
      </w:r>
      <w:r w:rsidRPr="00BD5BB8">
        <w:rPr>
          <w:rFonts w:ascii="Times New Roman" w:eastAsia="Times New Roman" w:hAnsi="Times New Roman" w:cs="Times New Roman"/>
          <w:b/>
          <w:sz w:val="24"/>
          <w:szCs w:val="24"/>
          <w:lang w:eastAsia="zh-CN"/>
        </w:rPr>
        <w:t xml:space="preserve">чл. 69, ал. 4 и 7 </w:t>
      </w:r>
      <w:r w:rsidRPr="00BD5BB8">
        <w:rPr>
          <w:rFonts w:ascii="Times New Roman" w:eastAsia="Times New Roman" w:hAnsi="Times New Roman" w:cs="Times New Roman"/>
          <w:sz w:val="24"/>
          <w:szCs w:val="24"/>
          <w:lang w:eastAsia="zh-CN"/>
        </w:rPr>
        <w:t>и</w:t>
      </w:r>
      <w:r w:rsidRPr="00BD5BB8">
        <w:rPr>
          <w:rFonts w:ascii="Times New Roman" w:eastAsia="Times New Roman" w:hAnsi="Times New Roman" w:cs="Times New Roman"/>
          <w:b/>
          <w:sz w:val="24"/>
          <w:szCs w:val="24"/>
          <w:lang w:eastAsia="zh-CN"/>
        </w:rPr>
        <w:t xml:space="preserve"> по</w:t>
      </w:r>
      <w:r w:rsidRPr="00BD5BB8">
        <w:rPr>
          <w:rFonts w:ascii="Times New Roman" w:eastAsia="Times New Roman" w:hAnsi="Times New Roman" w:cs="Times New Roman"/>
          <w:sz w:val="24"/>
          <w:szCs w:val="24"/>
          <w:lang w:eastAsia="zh-CN"/>
        </w:rPr>
        <w:t xml:space="preserve"> </w:t>
      </w:r>
      <w:r w:rsidRPr="00BD5BB8">
        <w:rPr>
          <w:rFonts w:ascii="Times New Roman" w:eastAsia="Times New Roman" w:hAnsi="Times New Roman" w:cs="Times New Roman"/>
          <w:b/>
          <w:sz w:val="24"/>
          <w:szCs w:val="24"/>
          <w:lang w:eastAsia="zh-CN"/>
        </w:rPr>
        <w:t>чл. 69а от КСО</w:t>
      </w:r>
      <w:r w:rsidRPr="00BD5BB8">
        <w:rPr>
          <w:rFonts w:ascii="Times New Roman" w:eastAsia="Times New Roman" w:hAnsi="Times New Roman" w:cs="Times New Roman"/>
          <w:sz w:val="24"/>
          <w:szCs w:val="24"/>
          <w:lang w:eastAsia="zh-CN"/>
        </w:rPr>
        <w:t xml:space="preserve">  - 43 години и 2 месеца; </w:t>
      </w:r>
    </w:p>
    <w:p w:rsidR="009758AC" w:rsidRPr="00BD5BB8" w:rsidRDefault="009758AC" w:rsidP="009758AC">
      <w:pPr>
        <w:numPr>
          <w:ilvl w:val="0"/>
          <w:numId w:val="2"/>
        </w:numPr>
        <w:tabs>
          <w:tab w:val="center" w:pos="4536"/>
          <w:tab w:val="right" w:pos="9072"/>
        </w:tabs>
        <w:spacing w:after="0" w:line="240" w:lineRule="auto"/>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за лица с придобит осигурителен стаж в условията на първа и втора категория труд по </w:t>
      </w:r>
      <w:r w:rsidRPr="00BD5BB8">
        <w:rPr>
          <w:rFonts w:ascii="Times New Roman" w:eastAsia="Times New Roman" w:hAnsi="Times New Roman" w:cs="Times New Roman"/>
          <w:b/>
          <w:sz w:val="24"/>
          <w:szCs w:val="24"/>
          <w:lang w:eastAsia="zh-CN"/>
        </w:rPr>
        <w:t>чл. 69б от КСО</w:t>
      </w:r>
      <w:r w:rsidRPr="00BD5BB8">
        <w:rPr>
          <w:rFonts w:ascii="Times New Roman" w:eastAsia="Times New Roman" w:hAnsi="Times New Roman" w:cs="Times New Roman"/>
          <w:sz w:val="24"/>
          <w:szCs w:val="24"/>
          <w:lang w:eastAsia="zh-CN"/>
        </w:rPr>
        <w:t xml:space="preserve"> </w:t>
      </w:r>
      <w:r w:rsidRPr="00BD5BB8">
        <w:rPr>
          <w:rFonts w:ascii="Times New Roman" w:eastAsia="Calibri" w:hAnsi="Times New Roman" w:cs="Times New Roman"/>
          <w:sz w:val="24"/>
          <w:szCs w:val="24"/>
        </w:rPr>
        <w:t>(с изключение на изискуемата възраст по чл. 69б, ал. 1 и 2 за жените, която се повиши с четири месеца) – изискващата се навършена възраст е съответно: жени първа категория труд – 48 г. и 8 м. и втора категория труд – 53 г. и 8 м., а за мъжете първа категория труд – 53 г. и 2 м. и втора категория труд – 58 г. и 2 м.;</w:t>
      </w:r>
    </w:p>
    <w:p w:rsidR="009758AC" w:rsidRPr="00BD5BB8" w:rsidRDefault="009758AC" w:rsidP="009758AC">
      <w:pPr>
        <w:numPr>
          <w:ilvl w:val="0"/>
          <w:numId w:val="2"/>
        </w:numPr>
        <w:spacing w:after="0" w:line="240" w:lineRule="auto"/>
        <w:jc w:val="both"/>
        <w:rPr>
          <w:rFonts w:ascii="Times New Roman" w:eastAsia="Times New Roman" w:hAnsi="Times New Roman" w:cs="Times New Roman"/>
          <w:sz w:val="24"/>
          <w:szCs w:val="24"/>
          <w:lang w:eastAsia="zh-CN"/>
        </w:rPr>
      </w:pPr>
      <w:bookmarkStart w:id="5" w:name="_Hlk20928093"/>
      <w:r w:rsidRPr="00BD5BB8">
        <w:rPr>
          <w:rFonts w:ascii="Times New Roman" w:eastAsia="Times New Roman" w:hAnsi="Times New Roman" w:cs="Times New Roman"/>
          <w:sz w:val="24"/>
          <w:szCs w:val="24"/>
          <w:lang w:eastAsia="zh-CN"/>
        </w:rPr>
        <w:t xml:space="preserve">за учителите по </w:t>
      </w:r>
      <w:r w:rsidRPr="00BD5BB8">
        <w:rPr>
          <w:rFonts w:ascii="Times New Roman" w:eastAsia="Times New Roman" w:hAnsi="Times New Roman" w:cs="Times New Roman"/>
          <w:b/>
          <w:sz w:val="24"/>
          <w:szCs w:val="24"/>
          <w:lang w:eastAsia="zh-CN"/>
        </w:rPr>
        <w:t xml:space="preserve">чл. 69в, ал. 1 от КСО </w:t>
      </w:r>
      <w:r w:rsidRPr="00BD5BB8">
        <w:rPr>
          <w:rFonts w:ascii="Times New Roman" w:eastAsia="Times New Roman" w:hAnsi="Times New Roman" w:cs="Times New Roman"/>
          <w:sz w:val="24"/>
          <w:szCs w:val="24"/>
          <w:lang w:eastAsia="zh-CN"/>
        </w:rPr>
        <w:t>възрастта за пенсиониране нарасна с два месеца за жените и е 58 години и 2 месеца, а за мъжете увеличението е с един месец и е 61 години и 1 месец.</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 xml:space="preserve"> Минималният размер на пенсията за осигурителен стаж и възраст по чл. 68, ал. 1 от КСО през 2018 г., съгласно чл. 10 от ЗБДОО за 2018 г., е в следните размери:</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от 1 януари до 30 юни – 200 лв.;</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от 1 юли до 31 декември – 207</w:t>
      </w:r>
      <w:r w:rsidR="00432E1A">
        <w:rPr>
          <w:rFonts w:ascii="Times New Roman" w:eastAsia="Calibri" w:hAnsi="Times New Roman" w:cs="Times New Roman"/>
          <w:bCs/>
          <w:sz w:val="24"/>
          <w:szCs w:val="24"/>
        </w:rPr>
        <w:t>.</w:t>
      </w:r>
      <w:r w:rsidRPr="00BD5BB8">
        <w:rPr>
          <w:rFonts w:ascii="Times New Roman" w:eastAsia="Calibri" w:hAnsi="Times New Roman" w:cs="Times New Roman"/>
          <w:bCs/>
          <w:sz w:val="24"/>
          <w:szCs w:val="24"/>
        </w:rPr>
        <w:t>60 лв.</w:t>
      </w:r>
    </w:p>
    <w:p w:rsidR="009758AC" w:rsidRPr="00BD5BB8" w:rsidRDefault="009758AC" w:rsidP="009758AC">
      <w:pPr>
        <w:tabs>
          <w:tab w:val="left" w:pos="1100"/>
        </w:tabs>
        <w:spacing w:after="0" w:line="240" w:lineRule="auto"/>
        <w:ind w:left="1021"/>
        <w:contextualSpacing/>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lastRenderedPageBreak/>
        <w:t xml:space="preserve">Повишиха се също и </w:t>
      </w:r>
      <w:r w:rsidRPr="00BD5BB8">
        <w:rPr>
          <w:rFonts w:ascii="Times New Roman" w:eastAsia="Calibri" w:hAnsi="Times New Roman" w:cs="Times New Roman"/>
          <w:sz w:val="24"/>
          <w:szCs w:val="24"/>
        </w:rPr>
        <w:t>минималните размери и на пенсиите, които се определят в процент от тази за ОСВ - пенсията за осигурителен стаж и възраст при непълен осигурителен стаж (чл. 68, ал. 3 от КСО), за инвалидност поради общо заболяване и на пенсията за инвалидност поради трудова злополука и професионална болест.</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Calibri" w:hAnsi="Times New Roman" w:cs="Times New Roman"/>
          <w:sz w:val="24"/>
          <w:szCs w:val="24"/>
        </w:rPr>
        <w:t>От 1 януари 2018 г. за новоотпуснатите пенсии процентът по чл. 70, ал. 1 от КСО за всяка година осигурителен стаж в пенсионната формула се увеличи от 1,126 на 1,169 с процент, определен по правилото на чл. 100 от КСО (с 3,8 на сто).</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color w:val="000000"/>
          <w:sz w:val="24"/>
          <w:szCs w:val="24"/>
          <w:lang w:eastAsia="bg-BG"/>
        </w:rPr>
      </w:pPr>
      <w:r w:rsidRPr="00BD5BB8">
        <w:rPr>
          <w:rFonts w:ascii="Times New Roman" w:eastAsia="Times New Roman" w:hAnsi="Times New Roman" w:cs="Times New Roman"/>
          <w:sz w:val="24"/>
          <w:szCs w:val="24"/>
          <w:lang w:eastAsia="zh-CN"/>
        </w:rPr>
        <w:t>От 1 юли 2018 г. бяха преизчислени всички пенсии за трудова дейност, отпуснати с начална дата до 31 декември 2017 г., като всяка година осигурителен стаж и съответната пропорционална част за месеците осигурителен стаж беше умножена с процента, определен в чл. 11 от ЗБДОО за 2018 г. – 1</w:t>
      </w:r>
      <w:r w:rsidR="00432E1A">
        <w:rPr>
          <w:rFonts w:ascii="Times New Roman" w:eastAsia="Times New Roman" w:hAnsi="Times New Roman" w:cs="Times New Roman"/>
          <w:sz w:val="24"/>
          <w:szCs w:val="24"/>
          <w:lang w:eastAsia="zh-CN"/>
        </w:rPr>
        <w:t>.</w:t>
      </w:r>
      <w:r w:rsidRPr="00BD5BB8">
        <w:rPr>
          <w:rFonts w:ascii="Times New Roman" w:eastAsia="Times New Roman" w:hAnsi="Times New Roman" w:cs="Times New Roman"/>
          <w:sz w:val="24"/>
          <w:szCs w:val="24"/>
          <w:lang w:eastAsia="zh-CN"/>
        </w:rPr>
        <w:t xml:space="preserve">169.  </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Calibri" w:hAnsi="Times New Roman" w:cs="Times New Roman"/>
          <w:color w:val="000000"/>
          <w:sz w:val="24"/>
          <w:szCs w:val="24"/>
          <w:lang w:eastAsia="bg-BG"/>
        </w:rPr>
      </w:pPr>
      <w:r w:rsidRPr="00BD5BB8">
        <w:rPr>
          <w:rFonts w:ascii="Times New Roman" w:eastAsia="Calibri" w:hAnsi="Times New Roman" w:cs="Times New Roman"/>
          <w:sz w:val="24"/>
          <w:szCs w:val="24"/>
          <w:lang w:eastAsia="zh-CN"/>
        </w:rPr>
        <w:t xml:space="preserve">На основание </w:t>
      </w:r>
      <w:r w:rsidRPr="00BD5BB8">
        <w:rPr>
          <w:rFonts w:ascii="Times New Roman" w:eastAsia="Calibri" w:hAnsi="Times New Roman" w:cs="Times New Roman"/>
          <w:bCs/>
          <w:sz w:val="24"/>
          <w:szCs w:val="24"/>
        </w:rPr>
        <w:t>Постановление на Министерския съвет</w:t>
      </w:r>
      <w:r w:rsidRPr="00BD5BB8">
        <w:rPr>
          <w:rFonts w:ascii="Times New Roman" w:eastAsia="Calibri" w:hAnsi="Times New Roman" w:cs="Times New Roman"/>
          <w:sz w:val="24"/>
          <w:szCs w:val="24"/>
          <w:lang w:eastAsia="zh-CN"/>
        </w:rPr>
        <w:t xml:space="preserve"> №106 от 22.06.2018 г. размерът на социалната пенсия за старост от 1 юли 2018 г. се повиши от 120</w:t>
      </w:r>
      <w:r w:rsidR="00432E1A">
        <w:rPr>
          <w:rFonts w:ascii="Times New Roman" w:eastAsia="Calibri" w:hAnsi="Times New Roman" w:cs="Times New Roman"/>
          <w:sz w:val="24"/>
          <w:szCs w:val="24"/>
          <w:lang w:eastAsia="zh-CN"/>
        </w:rPr>
        <w:t>.</w:t>
      </w:r>
      <w:r w:rsidRPr="00BD5BB8">
        <w:rPr>
          <w:rFonts w:ascii="Times New Roman" w:eastAsia="Calibri" w:hAnsi="Times New Roman" w:cs="Times New Roman"/>
          <w:sz w:val="24"/>
          <w:szCs w:val="24"/>
          <w:lang w:eastAsia="zh-CN"/>
        </w:rPr>
        <w:t xml:space="preserve">98 лв. на 125,58 лв. месечно. </w:t>
      </w:r>
      <w:r w:rsidRPr="00BD5BB8">
        <w:rPr>
          <w:rFonts w:ascii="Times New Roman" w:eastAsia="Times New Roman" w:hAnsi="Times New Roman" w:cs="Times New Roman"/>
          <w:sz w:val="24"/>
          <w:szCs w:val="24"/>
          <w:lang w:eastAsia="zh-CN"/>
        </w:rPr>
        <w:t>Вследствие на това нараснаха също и минималните размери на п</w:t>
      </w:r>
      <w:r w:rsidRPr="00BD5BB8">
        <w:rPr>
          <w:rFonts w:ascii="Times New Roman" w:eastAsia="Calibri" w:hAnsi="Times New Roman" w:cs="Times New Roman"/>
          <w:sz w:val="24"/>
          <w:szCs w:val="24"/>
        </w:rPr>
        <w:t>енсиите за военна и гражданска инвалидност и социалната пенсия за инвалидност, които се определят в процент от социалната пенсия за старост в зависимост от намалената работоспособност на лицата.</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През 2018 г. Министерският съвет одобри на два пъти изплащането на еднократни допълнителни суми към пенсиите.</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С ПМС № 43/28.03.2018 г. (Обн., ДВ, бр.29 от 30.03.2018 г.) е одобрен допълнителен трансфер в размер на 49</w:t>
      </w:r>
      <w:r w:rsidR="00432E1A">
        <w:rPr>
          <w:rFonts w:ascii="Times New Roman" w:eastAsia="Calibri" w:hAnsi="Times New Roman" w:cs="Times New Roman"/>
          <w:bCs/>
          <w:sz w:val="24"/>
          <w:szCs w:val="24"/>
        </w:rPr>
        <w:t>.</w:t>
      </w:r>
      <w:r w:rsidRPr="00BD5BB8">
        <w:rPr>
          <w:rFonts w:ascii="Times New Roman" w:eastAsia="Calibri" w:hAnsi="Times New Roman" w:cs="Times New Roman"/>
          <w:bCs/>
          <w:sz w:val="24"/>
          <w:szCs w:val="24"/>
        </w:rPr>
        <w:t>1 млн. лв. по бюджета на ДОО за 2018 г. за еднократно изплащане на допълнителна сума към пенсиите за м. април 2018 г. Допълнителната сума е в размер 40 лв. и се изплати на пенсионери, на които пенсията или сборът от пенсиите заедно с добавките и компенсациите към тях за м. април 2018 г. е в размер до 321</w:t>
      </w:r>
      <w:r w:rsidR="00432E1A">
        <w:rPr>
          <w:rFonts w:ascii="Times New Roman" w:eastAsia="Calibri" w:hAnsi="Times New Roman" w:cs="Times New Roman"/>
          <w:bCs/>
          <w:sz w:val="24"/>
          <w:szCs w:val="24"/>
        </w:rPr>
        <w:t>.</w:t>
      </w:r>
      <w:r w:rsidRPr="00BD5BB8">
        <w:rPr>
          <w:rFonts w:ascii="Times New Roman" w:eastAsia="Calibri" w:hAnsi="Times New Roman" w:cs="Times New Roman"/>
          <w:bCs/>
          <w:sz w:val="24"/>
          <w:szCs w:val="24"/>
        </w:rPr>
        <w:t>00 лв. включително.</w:t>
      </w:r>
      <w:r w:rsidRPr="00BD5BB8">
        <w:rPr>
          <w:rFonts w:ascii="Times New Roman" w:eastAsia="Calibri" w:hAnsi="Times New Roman" w:cs="Times New Roman"/>
          <w:sz w:val="24"/>
          <w:szCs w:val="24"/>
        </w:rPr>
        <w:t xml:space="preserve"> Броят на пенсионерите, получили „великденска“ добавка е 1 199 465.</w:t>
      </w:r>
    </w:p>
    <w:p w:rsidR="009758AC" w:rsidRPr="00BD5BB8" w:rsidRDefault="009758AC" w:rsidP="009758AC">
      <w:pPr>
        <w:numPr>
          <w:ilvl w:val="0"/>
          <w:numId w:val="2"/>
        </w:numPr>
        <w:spacing w:after="0" w:line="240" w:lineRule="auto"/>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С ПМС № 246/15.11.2018 г. е одобрен допълнителен трансфер в размер на 51</w:t>
      </w:r>
      <w:r w:rsidR="00432E1A">
        <w:rPr>
          <w:rFonts w:ascii="Times New Roman" w:eastAsia="Calibri" w:hAnsi="Times New Roman" w:cs="Times New Roman"/>
          <w:bCs/>
          <w:sz w:val="24"/>
          <w:szCs w:val="24"/>
        </w:rPr>
        <w:t>.</w:t>
      </w:r>
      <w:r w:rsidRPr="00BD5BB8">
        <w:rPr>
          <w:rFonts w:ascii="Times New Roman" w:eastAsia="Calibri" w:hAnsi="Times New Roman" w:cs="Times New Roman"/>
          <w:bCs/>
          <w:sz w:val="24"/>
          <w:szCs w:val="24"/>
        </w:rPr>
        <w:t>6 млн. лв. по бюджета на ДОО за 2018 г. за еднократно изплащане на допълнителна сума към пенсиите за м. декември 2018 г. Допълнителната сума е 40 лв. и се изплати на пенсионери, на които пенсията или сборът от пенсиите заедно с добавките и компенсациите към тях за м. декември 2018 г. е в размер до 348,00 лв. включително.</w:t>
      </w:r>
      <w:r w:rsidRPr="00BD5BB8">
        <w:rPr>
          <w:rFonts w:ascii="Times New Roman" w:eastAsia="Calibri" w:hAnsi="Times New Roman" w:cs="Times New Roman"/>
          <w:sz w:val="24"/>
          <w:szCs w:val="24"/>
        </w:rPr>
        <w:t xml:space="preserve"> Броят на пенсионерите, получили „коледна“ добавка е 1 267 183.</w:t>
      </w:r>
    </w:p>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Считано от 01.01.2018 г. на основание на чл. 9, ал. 6 от КСО, за осигурителен стаж при пенсиониране се зачита времето, през което съпруг (съпруга), родител (осиновител) или един от родителите на майката или бащата на лицето с увреждане (баба/дядо) са полагали грижи за лице с трайно намалена работоспособност/вид и степен на увреждане над 90 на сто, което постоянно се нуждае от чужда помощ. Задължителна предпоставка за зачитане на това време за стаж е лицето, което е полагало грижите да не е било осигурено или да не получавало лична пенсия.</w:t>
      </w:r>
    </w:p>
    <w:bookmarkEnd w:id="5"/>
    <w:p w:rsidR="009758AC" w:rsidRPr="00BD5BB8" w:rsidRDefault="009758AC" w:rsidP="009758AC">
      <w:pPr>
        <w:numPr>
          <w:ilvl w:val="0"/>
          <w:numId w:val="1"/>
        </w:numPr>
        <w:tabs>
          <w:tab w:val="clear" w:pos="1778"/>
          <w:tab w:val="left" w:pos="1100"/>
          <w:tab w:val="num" w:pos="1495"/>
        </w:tabs>
        <w:spacing w:after="0" w:line="240" w:lineRule="auto"/>
        <w:ind w:left="0"/>
        <w:jc w:val="both"/>
        <w:rPr>
          <w:rFonts w:ascii="Times New Roman" w:eastAsia="Times New Roman" w:hAnsi="Times New Roman" w:cs="Times New Roman"/>
          <w:sz w:val="24"/>
          <w:szCs w:val="24"/>
          <w:lang w:eastAsia="zh-CN"/>
        </w:rPr>
      </w:pPr>
      <w:r w:rsidRPr="00BD5BB8">
        <w:rPr>
          <w:rFonts w:ascii="Times New Roman" w:eastAsia="Times New Roman" w:hAnsi="Times New Roman" w:cs="Times New Roman"/>
          <w:sz w:val="24"/>
          <w:szCs w:val="24"/>
          <w:lang w:eastAsia="zh-CN"/>
        </w:rPr>
        <w:t>От началото на 2018 г. размерът на осигурителната вноска за фонд „Пенсии“ се увеличи с 1 процентен пункт, от който 0</w:t>
      </w:r>
      <w:r w:rsidR="00432E1A">
        <w:rPr>
          <w:rFonts w:ascii="Times New Roman" w:eastAsia="Times New Roman" w:hAnsi="Times New Roman" w:cs="Times New Roman"/>
          <w:sz w:val="24"/>
          <w:szCs w:val="24"/>
          <w:lang w:eastAsia="zh-CN"/>
        </w:rPr>
        <w:t>.</w:t>
      </w:r>
      <w:r w:rsidRPr="00BD5BB8">
        <w:rPr>
          <w:rFonts w:ascii="Times New Roman" w:eastAsia="Times New Roman" w:hAnsi="Times New Roman" w:cs="Times New Roman"/>
          <w:sz w:val="24"/>
          <w:szCs w:val="24"/>
          <w:lang w:eastAsia="zh-CN"/>
        </w:rPr>
        <w:t>56 на сто са за сметка на осигурителя, а 0</w:t>
      </w:r>
      <w:r w:rsidR="00432E1A">
        <w:rPr>
          <w:rFonts w:ascii="Times New Roman" w:eastAsia="Times New Roman" w:hAnsi="Times New Roman" w:cs="Times New Roman"/>
          <w:sz w:val="24"/>
          <w:szCs w:val="24"/>
          <w:lang w:eastAsia="zh-CN"/>
        </w:rPr>
        <w:t>.</w:t>
      </w:r>
      <w:r w:rsidRPr="00BD5BB8">
        <w:rPr>
          <w:rFonts w:ascii="Times New Roman" w:eastAsia="Times New Roman" w:hAnsi="Times New Roman" w:cs="Times New Roman"/>
          <w:sz w:val="24"/>
          <w:szCs w:val="24"/>
          <w:lang w:eastAsia="zh-CN"/>
        </w:rPr>
        <w:t xml:space="preserve">44 за сметка на осигуреното лице. Това повишение беше заложено още през 2015 г. с промени в чл. 6 от КСО (ДВ, бр. 61 от 2015 г.). Размерът на осигурителната вноска за фонд “Пенсии” за морските лица се повиши с 2 процентни пункта. </w:t>
      </w:r>
    </w:p>
    <w:p w:rsidR="009758AC" w:rsidRPr="00BD5BB8" w:rsidRDefault="009758AC" w:rsidP="009758AC">
      <w:pPr>
        <w:spacing w:after="0" w:line="240" w:lineRule="auto"/>
        <w:ind w:firstLine="708"/>
        <w:jc w:val="center"/>
        <w:rPr>
          <w:rFonts w:ascii="Times New Roman" w:eastAsia="Calibri" w:hAnsi="Times New Roman" w:cs="Times New Roman"/>
          <w:b/>
          <w:bCs/>
          <w:sz w:val="24"/>
        </w:rPr>
      </w:pPr>
    </w:p>
    <w:p w:rsidR="009758AC" w:rsidRPr="00BD5BB8" w:rsidRDefault="009758AC" w:rsidP="009758AC">
      <w:pPr>
        <w:spacing w:after="0" w:line="240" w:lineRule="auto"/>
        <w:ind w:firstLine="708"/>
        <w:jc w:val="center"/>
        <w:rPr>
          <w:rFonts w:ascii="Times New Roman" w:eastAsia="Calibri" w:hAnsi="Times New Roman" w:cs="Times New Roman"/>
          <w:b/>
          <w:bCs/>
          <w:sz w:val="24"/>
        </w:rPr>
      </w:pPr>
      <w:r w:rsidRPr="00BD5BB8">
        <w:rPr>
          <w:rFonts w:ascii="Times New Roman" w:eastAsia="Calibri" w:hAnsi="Times New Roman" w:cs="Times New Roman"/>
          <w:b/>
          <w:bCs/>
          <w:sz w:val="24"/>
        </w:rPr>
        <w:lastRenderedPageBreak/>
        <w:t>Индикатори за текущ мониторинг на изпълнението и напредъка</w:t>
      </w:r>
    </w:p>
    <w:p w:rsidR="009758AC" w:rsidRPr="00BD5BB8" w:rsidRDefault="009758AC" w:rsidP="009758AC">
      <w:pPr>
        <w:spacing w:after="0" w:line="240" w:lineRule="auto"/>
        <w:ind w:firstLine="709"/>
        <w:jc w:val="both"/>
        <w:rPr>
          <w:rFonts w:ascii="Times New Roman" w:eastAsia="Times New Roman" w:hAnsi="Times New Roman" w:cs="Times New Roman"/>
          <w:sz w:val="24"/>
          <w:szCs w:val="24"/>
        </w:rPr>
      </w:pPr>
    </w:p>
    <w:p w:rsidR="009758AC" w:rsidRPr="00BD5BB8" w:rsidRDefault="009758AC" w:rsidP="009758AC">
      <w:pPr>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В следващата таблица са посочени отчетни статистически данни за 2017</w:t>
      </w:r>
      <w:r w:rsidR="00257BF7" w:rsidRPr="00BD5BB8">
        <w:rPr>
          <w:rFonts w:ascii="Times New Roman" w:eastAsia="Times New Roman" w:hAnsi="Times New Roman" w:cs="Times New Roman"/>
          <w:sz w:val="24"/>
          <w:szCs w:val="24"/>
        </w:rPr>
        <w:t xml:space="preserve"> г.</w:t>
      </w:r>
      <w:r w:rsidRPr="00BD5BB8">
        <w:rPr>
          <w:rFonts w:ascii="Times New Roman" w:eastAsia="Times New Roman" w:hAnsi="Times New Roman" w:cs="Times New Roman"/>
          <w:sz w:val="24"/>
          <w:szCs w:val="24"/>
        </w:rPr>
        <w:t xml:space="preserve"> и 2018 г</w:t>
      </w:r>
      <w:r w:rsidR="00257BF7" w:rsidRPr="00BD5BB8">
        <w:rPr>
          <w:rFonts w:ascii="Times New Roman" w:eastAsia="Times New Roman" w:hAnsi="Times New Roman" w:cs="Times New Roman"/>
          <w:sz w:val="24"/>
          <w:szCs w:val="24"/>
        </w:rPr>
        <w:t>.</w:t>
      </w:r>
      <w:r w:rsidRPr="00BD5BB8">
        <w:rPr>
          <w:rFonts w:ascii="Times New Roman" w:eastAsia="Times New Roman" w:hAnsi="Times New Roman" w:cs="Times New Roman"/>
          <w:sz w:val="24"/>
          <w:szCs w:val="24"/>
        </w:rPr>
        <w:t xml:space="preserve"> за някои от основните показатели, характеризиращи администрираните от НОИ социално осигурителни програми и по консолидирания бюджет на държавното обществено осигуряване:</w:t>
      </w:r>
    </w:p>
    <w:p w:rsidR="009758AC" w:rsidRPr="00BD5BB8" w:rsidRDefault="009758AC" w:rsidP="009758AC">
      <w:pPr>
        <w:spacing w:after="0" w:line="240" w:lineRule="auto"/>
        <w:ind w:firstLine="708"/>
        <w:jc w:val="both"/>
        <w:rPr>
          <w:rFonts w:ascii="Times New Roman" w:eastAsia="Calibri" w:hAnsi="Times New Roman" w:cs="Times New Roman"/>
          <w:sz w:val="24"/>
        </w:rPr>
      </w:pPr>
    </w:p>
    <w:p w:rsidR="009758AC" w:rsidRPr="00BD5BB8" w:rsidRDefault="009758AC" w:rsidP="009758AC">
      <w:pPr>
        <w:spacing w:after="0" w:line="240" w:lineRule="auto"/>
        <w:rPr>
          <w:rFonts w:ascii="Times New Roman" w:eastAsia="Calibri" w:hAnsi="Times New Roman" w:cs="Times New Roman"/>
          <w:b/>
          <w:bCs/>
          <w:sz w:val="20"/>
          <w:szCs w:val="20"/>
        </w:rPr>
      </w:pPr>
      <w:r w:rsidRPr="00BD5BB8">
        <w:rPr>
          <w:rFonts w:ascii="Times New Roman" w:eastAsia="Calibri" w:hAnsi="Times New Roman" w:cs="Times New Roman"/>
          <w:b/>
          <w:bCs/>
          <w:iCs/>
          <w:sz w:val="20"/>
          <w:szCs w:val="20"/>
        </w:rPr>
        <w:t>Таблица №1:</w:t>
      </w:r>
      <w:r w:rsidRPr="00BD5BB8">
        <w:rPr>
          <w:rFonts w:ascii="Times New Roman" w:eastAsia="Calibri" w:hAnsi="Times New Roman" w:cs="Times New Roman"/>
          <w:b/>
          <w:bCs/>
          <w:sz w:val="20"/>
          <w:szCs w:val="20"/>
        </w:rPr>
        <w:t xml:space="preserve"> Статистически показатели за държавното обществено осигуряване за 2017 г. и 2018 г.</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3921"/>
        <w:gridCol w:w="2349"/>
        <w:gridCol w:w="2268"/>
      </w:tblGrid>
      <w:tr w:rsidR="009758AC" w:rsidRPr="00BD5BB8" w:rsidTr="00915899">
        <w:trPr>
          <w:trHeight w:val="417"/>
          <w:jc w:val="center"/>
        </w:trPr>
        <w:tc>
          <w:tcPr>
            <w:tcW w:w="67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758AC" w:rsidRPr="00BD5BB8" w:rsidRDefault="009758AC" w:rsidP="009758AC">
            <w:pPr>
              <w:spacing w:after="0" w:line="240" w:lineRule="auto"/>
              <w:jc w:val="center"/>
              <w:rPr>
                <w:rFonts w:ascii="Times New Roman" w:eastAsia="Calibri" w:hAnsi="Times New Roman" w:cs="Times New Roman"/>
                <w:b/>
                <w:bCs/>
                <w:sz w:val="20"/>
                <w:szCs w:val="20"/>
              </w:rPr>
            </w:pPr>
            <w:r w:rsidRPr="00BD5BB8">
              <w:rPr>
                <w:rFonts w:ascii="Times New Roman" w:eastAsia="Calibri" w:hAnsi="Times New Roman" w:cs="Times New Roman"/>
                <w:b/>
                <w:bCs/>
                <w:sz w:val="20"/>
                <w:szCs w:val="20"/>
              </w:rPr>
              <w:t>№</w:t>
            </w:r>
          </w:p>
        </w:tc>
        <w:tc>
          <w:tcPr>
            <w:tcW w:w="392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758AC" w:rsidRPr="00BD5BB8" w:rsidRDefault="009758AC" w:rsidP="009758AC">
            <w:pPr>
              <w:keepNext/>
              <w:autoSpaceDE w:val="0"/>
              <w:autoSpaceDN w:val="0"/>
              <w:spacing w:after="0" w:line="240" w:lineRule="auto"/>
              <w:ind w:left="165"/>
              <w:jc w:val="center"/>
              <w:outlineLvl w:val="0"/>
              <w:rPr>
                <w:rFonts w:ascii="Times New Roman" w:eastAsia="Times New Roman" w:hAnsi="Times New Roman" w:cs="Times New Roman"/>
                <w:b/>
                <w:sz w:val="20"/>
                <w:szCs w:val="20"/>
              </w:rPr>
            </w:pPr>
            <w:r w:rsidRPr="00BD5BB8">
              <w:rPr>
                <w:rFonts w:ascii="Times New Roman" w:eastAsia="Times New Roman" w:hAnsi="Times New Roman" w:cs="Times New Roman"/>
                <w:b/>
                <w:sz w:val="20"/>
                <w:szCs w:val="20"/>
              </w:rPr>
              <w:t>Показатели</w:t>
            </w:r>
          </w:p>
        </w:tc>
        <w:tc>
          <w:tcPr>
            <w:tcW w:w="234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758AC" w:rsidRPr="00BD5BB8" w:rsidRDefault="009758AC" w:rsidP="009758AC">
            <w:pPr>
              <w:spacing w:after="0" w:line="240" w:lineRule="auto"/>
              <w:jc w:val="center"/>
              <w:rPr>
                <w:rFonts w:ascii="Times New Roman" w:eastAsia="Calibri" w:hAnsi="Times New Roman" w:cs="Times New Roman"/>
                <w:b/>
                <w:bCs/>
                <w:sz w:val="20"/>
                <w:szCs w:val="20"/>
              </w:rPr>
            </w:pPr>
            <w:r w:rsidRPr="00BD5BB8">
              <w:rPr>
                <w:rFonts w:ascii="Times New Roman" w:eastAsia="Calibri" w:hAnsi="Times New Roman" w:cs="Times New Roman"/>
                <w:b/>
                <w:bCs/>
                <w:sz w:val="20"/>
                <w:szCs w:val="20"/>
              </w:rPr>
              <w:t>2017 г.</w:t>
            </w:r>
          </w:p>
        </w:tc>
        <w:tc>
          <w:tcPr>
            <w:tcW w:w="226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758AC" w:rsidRPr="00BD5BB8" w:rsidRDefault="009758AC" w:rsidP="009758AC">
            <w:pPr>
              <w:spacing w:after="0" w:line="240" w:lineRule="auto"/>
              <w:jc w:val="center"/>
              <w:rPr>
                <w:rFonts w:ascii="Times New Roman" w:eastAsia="Calibri" w:hAnsi="Times New Roman" w:cs="Times New Roman"/>
                <w:b/>
                <w:bCs/>
                <w:sz w:val="20"/>
                <w:szCs w:val="20"/>
              </w:rPr>
            </w:pPr>
            <w:r w:rsidRPr="00BD5BB8">
              <w:rPr>
                <w:rFonts w:ascii="Times New Roman" w:eastAsia="Calibri" w:hAnsi="Times New Roman" w:cs="Times New Roman"/>
                <w:b/>
                <w:bCs/>
                <w:sz w:val="20"/>
                <w:szCs w:val="20"/>
              </w:rPr>
              <w:t>2018 г.</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Осигурени лица за ДОО (среден брой за периода на база постъпили приходи)</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2 779 820</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2 790 182</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2.</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 xml:space="preserve">Средномесечен осигурителен доход за страната </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821</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21 лв.</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889</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90 лв.</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3.</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Приходи от осигурителни вноски</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autoSpaceDE w:val="0"/>
              <w:autoSpaceDN w:val="0"/>
              <w:adjustRightInd w:val="0"/>
              <w:spacing w:after="0" w:line="240" w:lineRule="auto"/>
              <w:jc w:val="right"/>
              <w:rPr>
                <w:rFonts w:ascii="Times New Roman" w:eastAsia="Times New Roman" w:hAnsi="Times New Roman" w:cs="Times New Roman"/>
                <w:sz w:val="20"/>
                <w:szCs w:val="20"/>
              </w:rPr>
            </w:pPr>
            <w:r w:rsidRPr="00BD5BB8">
              <w:rPr>
                <w:rFonts w:ascii="Times New Roman" w:eastAsia="Calibri" w:hAnsi="Times New Roman" w:cs="Times New Roman"/>
                <w:sz w:val="20"/>
                <w:szCs w:val="20"/>
              </w:rPr>
              <w:t>5 914</w:t>
            </w:r>
            <w:r w:rsidR="00432E1A">
              <w:rPr>
                <w:rFonts w:ascii="Times New Roman" w:eastAsia="Calibri" w:hAnsi="Times New Roman" w:cs="Times New Roman"/>
                <w:sz w:val="20"/>
                <w:szCs w:val="20"/>
              </w:rPr>
              <w:t> </w:t>
            </w:r>
            <w:r w:rsidRPr="00BD5BB8">
              <w:rPr>
                <w:rFonts w:ascii="Times New Roman" w:eastAsia="Calibri" w:hAnsi="Times New Roman" w:cs="Times New Roman"/>
                <w:sz w:val="20"/>
                <w:szCs w:val="20"/>
              </w:rPr>
              <w:t>007</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 xml:space="preserve">3 </w:t>
            </w:r>
            <w:r w:rsidRPr="00BD5BB8">
              <w:rPr>
                <w:rFonts w:ascii="Times New Roman" w:eastAsia="Times New Roman" w:hAnsi="Times New Roman" w:cs="Times New Roman"/>
                <w:color w:val="000000"/>
                <w:sz w:val="20"/>
                <w:szCs w:val="20"/>
              </w:rPr>
              <w:t>хил. лв</w:t>
            </w:r>
            <w:r w:rsidRPr="00BD5BB8">
              <w:rPr>
                <w:rFonts w:ascii="Times New Roman" w:eastAsia="Times New Roman" w:hAnsi="Times New Roman" w:cs="Times New Roman"/>
                <w:sz w:val="20"/>
                <w:szCs w:val="20"/>
              </w:rPr>
              <w:t>.</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autoSpaceDE w:val="0"/>
              <w:autoSpaceDN w:val="0"/>
              <w:adjustRightInd w:val="0"/>
              <w:spacing w:after="0" w:line="240" w:lineRule="auto"/>
              <w:jc w:val="right"/>
              <w:rPr>
                <w:rFonts w:ascii="Times New Roman" w:eastAsia="Times New Roman" w:hAnsi="Times New Roman" w:cs="Times New Roman"/>
                <w:sz w:val="20"/>
                <w:szCs w:val="20"/>
              </w:rPr>
            </w:pPr>
            <w:r w:rsidRPr="00BD5BB8">
              <w:rPr>
                <w:rFonts w:ascii="Times New Roman" w:eastAsia="Calibri" w:hAnsi="Times New Roman" w:cs="Times New Roman"/>
                <w:sz w:val="20"/>
                <w:szCs w:val="20"/>
              </w:rPr>
              <w:t>6 772</w:t>
            </w:r>
            <w:r w:rsidR="00432E1A">
              <w:rPr>
                <w:rFonts w:ascii="Times New Roman" w:eastAsia="Calibri" w:hAnsi="Times New Roman" w:cs="Times New Roman"/>
                <w:sz w:val="20"/>
                <w:szCs w:val="20"/>
              </w:rPr>
              <w:t> </w:t>
            </w:r>
            <w:r w:rsidRPr="00BD5BB8">
              <w:rPr>
                <w:rFonts w:ascii="Times New Roman" w:eastAsia="Calibri" w:hAnsi="Times New Roman" w:cs="Times New Roman"/>
                <w:sz w:val="20"/>
                <w:szCs w:val="20"/>
              </w:rPr>
              <w:t>399</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 xml:space="preserve">8 </w:t>
            </w:r>
            <w:r w:rsidRPr="00BD5BB8">
              <w:rPr>
                <w:rFonts w:ascii="Times New Roman" w:eastAsia="Times New Roman" w:hAnsi="Times New Roman" w:cs="Times New Roman"/>
                <w:color w:val="000000"/>
                <w:sz w:val="20"/>
                <w:szCs w:val="20"/>
              </w:rPr>
              <w:t>хил. лв.</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4.</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Брой пенсионери (средно за годината)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2 172 753</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color w:val="4472C4"/>
                <w:sz w:val="20"/>
                <w:szCs w:val="20"/>
              </w:rPr>
            </w:pPr>
            <w:r w:rsidRPr="00BD5BB8">
              <w:rPr>
                <w:rFonts w:ascii="Times New Roman" w:eastAsia="Calibri" w:hAnsi="Times New Roman" w:cs="Times New Roman"/>
                <w:sz w:val="20"/>
                <w:szCs w:val="20"/>
              </w:rPr>
              <w:t>2 162 890</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5.</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Брой пенсии (средно за годината)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2 577 223</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2 532 369</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6.</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 xml:space="preserve">Среден брой пенсии, изплащани на един пенсионер </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1</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186</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1</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171</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7.</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Средна възраст на пенсионерите, получаващи лични пенсии за осигурителен стаж и възраст</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72</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7 години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72</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9 години</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8.</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Средна продължителност на получаване на лична пенсия</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21</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7 години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21</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7 години</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9.</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Среден осигурителен стаж, превърнат към III-та трета категория труд при личните първи пенсии за осигурителен стаж и възраст (към 31.12. на съответната година)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38</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0 години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38</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1 години</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10.</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Средна пенсия на пенсионер</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345</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46 лв.</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364</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32 лв.</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11.</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Номинален ръст на средната пенсия на база предходната година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3</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5</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5%</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12.</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Разходи за пенсии (вкл. и капиталовия трансфер за прехвърляне на пенсионни права за старост към схемите на ЕС, ЕЦБ и ЕИБ)</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9 008 228,1 хил. лв.</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9 456 510,2 хил. лв.</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13.</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Разходи за пенсии като % от БВП</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8</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8%</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8</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6%</w:t>
            </w:r>
          </w:p>
        </w:tc>
      </w:tr>
      <w:tr w:rsidR="009758AC" w:rsidRPr="00BD5BB8" w:rsidTr="00915899">
        <w:trPr>
          <w:trHeight w:val="397"/>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14.</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Коефициент на зависимост (брой пенсионери на 100 осигурени лица)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78</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77</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5</w:t>
            </w:r>
          </w:p>
        </w:tc>
      </w:tr>
      <w:tr w:rsidR="009758AC" w:rsidRPr="00BD5BB8" w:rsidTr="00915899">
        <w:trPr>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15.</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Нетен коефициент на заместване на дохода (средна пенсия на пенсионер към средномесечен „нетен“ осигурителен доход за страната)</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53</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9</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52</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8</w:t>
            </w:r>
          </w:p>
        </w:tc>
      </w:tr>
      <w:tr w:rsidR="009758AC" w:rsidRPr="00BD5BB8" w:rsidTr="00915899">
        <w:trPr>
          <w:jc w:val="center"/>
        </w:trPr>
        <w:tc>
          <w:tcPr>
            <w:tcW w:w="67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center"/>
              <w:rPr>
                <w:rFonts w:ascii="Times New Roman" w:eastAsia="Calibri" w:hAnsi="Times New Roman" w:cs="Times New Roman"/>
                <w:sz w:val="20"/>
                <w:szCs w:val="20"/>
              </w:rPr>
            </w:pPr>
            <w:r w:rsidRPr="00BD5BB8">
              <w:rPr>
                <w:rFonts w:ascii="Times New Roman" w:eastAsia="Calibri" w:hAnsi="Times New Roman" w:cs="Times New Roman"/>
                <w:sz w:val="20"/>
                <w:szCs w:val="20"/>
              </w:rPr>
              <w:t>16.</w:t>
            </w:r>
          </w:p>
        </w:tc>
        <w:tc>
          <w:tcPr>
            <w:tcW w:w="3921"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9758AC">
            <w:pPr>
              <w:spacing w:after="0" w:line="240" w:lineRule="auto"/>
              <w:jc w:val="both"/>
              <w:rPr>
                <w:rFonts w:ascii="Times New Roman" w:eastAsia="Calibri" w:hAnsi="Times New Roman" w:cs="Times New Roman"/>
                <w:sz w:val="20"/>
                <w:szCs w:val="20"/>
              </w:rPr>
            </w:pPr>
            <w:r w:rsidRPr="00BD5BB8">
              <w:rPr>
                <w:rFonts w:ascii="Times New Roman" w:eastAsia="Calibri" w:hAnsi="Times New Roman" w:cs="Times New Roman"/>
                <w:sz w:val="20"/>
                <w:szCs w:val="20"/>
              </w:rPr>
              <w:t>Процент на събираемост – всички приходи от осигурителни вноски, постъпили във фондовете на ДОО по отчет, към заложените в ЗБДОО приходи от осигурителни вноски по план (в %)</w:t>
            </w:r>
          </w:p>
        </w:tc>
        <w:tc>
          <w:tcPr>
            <w:tcW w:w="2349"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105</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rsidR="009758AC" w:rsidRPr="00BD5BB8" w:rsidRDefault="009758AC" w:rsidP="00432E1A">
            <w:pPr>
              <w:spacing w:after="0" w:line="240" w:lineRule="auto"/>
              <w:jc w:val="right"/>
              <w:rPr>
                <w:rFonts w:ascii="Times New Roman" w:eastAsia="Calibri" w:hAnsi="Times New Roman" w:cs="Times New Roman"/>
                <w:sz w:val="20"/>
                <w:szCs w:val="20"/>
              </w:rPr>
            </w:pPr>
            <w:r w:rsidRPr="00BD5BB8">
              <w:rPr>
                <w:rFonts w:ascii="Times New Roman" w:eastAsia="Calibri" w:hAnsi="Times New Roman" w:cs="Times New Roman"/>
                <w:sz w:val="20"/>
                <w:szCs w:val="20"/>
              </w:rPr>
              <w:t>103</w:t>
            </w:r>
            <w:r w:rsidR="00432E1A">
              <w:rPr>
                <w:rFonts w:ascii="Times New Roman" w:eastAsia="Calibri" w:hAnsi="Times New Roman" w:cs="Times New Roman"/>
                <w:sz w:val="20"/>
                <w:szCs w:val="20"/>
              </w:rPr>
              <w:t>.</w:t>
            </w:r>
            <w:r w:rsidRPr="00BD5BB8">
              <w:rPr>
                <w:rFonts w:ascii="Times New Roman" w:eastAsia="Calibri" w:hAnsi="Times New Roman" w:cs="Times New Roman"/>
                <w:sz w:val="20"/>
                <w:szCs w:val="20"/>
              </w:rPr>
              <w:t>9%</w:t>
            </w:r>
          </w:p>
        </w:tc>
      </w:tr>
    </w:tbl>
    <w:p w:rsidR="009758AC" w:rsidRPr="00BD5BB8" w:rsidRDefault="009758AC" w:rsidP="009758AC">
      <w:pPr>
        <w:spacing w:after="0" w:line="240" w:lineRule="auto"/>
        <w:rPr>
          <w:rFonts w:ascii="Times New Roman" w:eastAsia="Calibri" w:hAnsi="Times New Roman" w:cs="Times New Roman"/>
          <w:sz w:val="18"/>
          <w:szCs w:val="18"/>
        </w:rPr>
      </w:pPr>
      <w:r w:rsidRPr="00BD5BB8">
        <w:rPr>
          <w:rFonts w:ascii="Times New Roman" w:eastAsia="Calibri" w:hAnsi="Times New Roman" w:cs="Times New Roman"/>
          <w:sz w:val="18"/>
          <w:szCs w:val="18"/>
        </w:rPr>
        <w:t>Източник: Национален осигурителен институт</w:t>
      </w:r>
    </w:p>
    <w:p w:rsidR="005F2097" w:rsidRPr="00BD5BB8" w:rsidRDefault="005F2097" w:rsidP="005F2097">
      <w:pPr>
        <w:spacing w:after="0" w:line="240" w:lineRule="auto"/>
        <w:jc w:val="center"/>
        <w:rPr>
          <w:rFonts w:ascii="Times New Roman" w:hAnsi="Times New Roman" w:cs="Times New Roman"/>
          <w:b/>
          <w:caps/>
          <w:color w:val="C0504D" w:themeColor="accent2"/>
          <w:sz w:val="24"/>
          <w:szCs w:val="24"/>
        </w:rPr>
      </w:pPr>
    </w:p>
    <w:p w:rsidR="008B67B8" w:rsidRPr="00BD5BB8" w:rsidRDefault="008B67B8" w:rsidP="005F2097">
      <w:pPr>
        <w:spacing w:after="0" w:line="240" w:lineRule="auto"/>
        <w:jc w:val="center"/>
        <w:rPr>
          <w:rFonts w:ascii="Times New Roman" w:hAnsi="Times New Roman" w:cs="Times New Roman"/>
          <w:b/>
          <w:caps/>
          <w:color w:val="C0504D" w:themeColor="accent2"/>
          <w:sz w:val="24"/>
          <w:szCs w:val="24"/>
        </w:rPr>
      </w:pPr>
    </w:p>
    <w:p w:rsidR="00D824DE" w:rsidRPr="00BD5BB8" w:rsidRDefault="00D824DE" w:rsidP="002E685E">
      <w:pPr>
        <w:spacing w:after="0" w:line="240" w:lineRule="auto"/>
        <w:jc w:val="center"/>
        <w:rPr>
          <w:rFonts w:ascii="Times New Roman" w:hAnsi="Times New Roman" w:cs="Times New Roman"/>
          <w:b/>
          <w:caps/>
          <w:color w:val="C0504D" w:themeColor="accent2"/>
          <w:sz w:val="24"/>
          <w:szCs w:val="24"/>
        </w:rPr>
      </w:pPr>
    </w:p>
    <w:p w:rsidR="00D824DE" w:rsidRPr="00BD5BB8" w:rsidRDefault="00D824DE" w:rsidP="002E685E">
      <w:pPr>
        <w:spacing w:after="0" w:line="240" w:lineRule="auto"/>
        <w:jc w:val="center"/>
        <w:rPr>
          <w:rFonts w:ascii="Times New Roman" w:hAnsi="Times New Roman" w:cs="Times New Roman"/>
          <w:b/>
          <w:caps/>
          <w:color w:val="C0504D" w:themeColor="accent2"/>
          <w:sz w:val="24"/>
          <w:szCs w:val="24"/>
        </w:rPr>
      </w:pPr>
    </w:p>
    <w:p w:rsidR="002E685E" w:rsidRPr="00BD5BB8" w:rsidRDefault="002E685E" w:rsidP="002E685E">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cs="Times New Roman"/>
          <w:b/>
          <w:caps/>
          <w:color w:val="C0504D" w:themeColor="accent2"/>
          <w:sz w:val="24"/>
          <w:szCs w:val="24"/>
        </w:rPr>
        <w:lastRenderedPageBreak/>
        <w:t>ИНСТИТУТ ЗА ИЗСЛЕДВАНЕ НА ОБЩЕСТВАТА И ЗНАНИЕТО – БАН</w:t>
      </w:r>
    </w:p>
    <w:p w:rsidR="002E685E" w:rsidRPr="00BD5BB8" w:rsidRDefault="002E685E" w:rsidP="002E685E">
      <w:pPr>
        <w:spacing w:after="0" w:line="240" w:lineRule="auto"/>
        <w:jc w:val="center"/>
        <w:rPr>
          <w:rFonts w:ascii="Times New Roman" w:hAnsi="Times New Roman" w:cs="Times New Roman"/>
          <w:b/>
          <w:caps/>
          <w:color w:val="C0504D" w:themeColor="accent2"/>
          <w:sz w:val="24"/>
          <w:szCs w:val="24"/>
        </w:rPr>
      </w:pPr>
    </w:p>
    <w:p w:rsidR="002E685E" w:rsidRPr="00BD5BB8" w:rsidRDefault="002E685E" w:rsidP="005F2097">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b/>
          <w:sz w:val="24"/>
          <w:szCs w:val="24"/>
        </w:rPr>
        <w:t>Идентифициране на възможности за активен живот на хората в пенсионна възраст</w:t>
      </w:r>
    </w:p>
    <w:p w:rsidR="002E685E" w:rsidRPr="00BD5BB8" w:rsidRDefault="002E685E" w:rsidP="002E685E">
      <w:pPr>
        <w:spacing w:after="0" w:line="240" w:lineRule="auto"/>
        <w:jc w:val="center"/>
        <w:rPr>
          <w:rFonts w:ascii="Times New Roman" w:hAnsi="Times New Roman" w:cs="Times New Roman"/>
          <w:b/>
          <w:caps/>
          <w:color w:val="C0504D" w:themeColor="accent2"/>
          <w:sz w:val="24"/>
          <w:szCs w:val="24"/>
        </w:rPr>
      </w:pPr>
    </w:p>
    <w:p w:rsidR="002E685E" w:rsidRPr="00BD5BB8" w:rsidRDefault="002E685E" w:rsidP="002E685E">
      <w:pPr>
        <w:spacing w:after="0" w:line="240" w:lineRule="auto"/>
        <w:ind w:firstLine="709"/>
        <w:contextualSpacing/>
        <w:jc w:val="both"/>
        <w:rPr>
          <w:rFonts w:ascii="Times New Roman" w:eastAsia="Calibri" w:hAnsi="Times New Roman" w:cs="Times New Roman"/>
          <w:sz w:val="24"/>
          <w:szCs w:val="24"/>
        </w:rPr>
      </w:pPr>
      <w:r w:rsidRPr="00BD5BB8">
        <w:rPr>
          <w:rFonts w:ascii="Times New Roman" w:eastAsia="Calibri" w:hAnsi="Times New Roman" w:cs="Times New Roman"/>
          <w:bCs/>
          <w:sz w:val="24"/>
          <w:szCs w:val="24"/>
        </w:rPr>
        <w:t xml:space="preserve">Екип от Института за изследване на обществата и знанието при БАН работи по международен изследователски проект </w:t>
      </w:r>
      <w:r w:rsidRPr="00BD5BB8">
        <w:rPr>
          <w:rFonts w:ascii="Times New Roman" w:eastAsia="Calibri" w:hAnsi="Times New Roman" w:cs="Times New Roman"/>
          <w:bCs/>
          <w:i/>
          <w:sz w:val="24"/>
          <w:szCs w:val="24"/>
        </w:rPr>
        <w:t xml:space="preserve">SHARE: „50+ В ЕВРОПА. Как остаряват хората в Европа“, </w:t>
      </w:r>
      <w:r w:rsidRPr="00BD5BB8">
        <w:rPr>
          <w:rFonts w:ascii="Times New Roman" w:eastAsia="Calibri" w:hAnsi="Times New Roman" w:cs="Times New Roman"/>
          <w:bCs/>
          <w:iCs/>
          <w:sz w:val="24"/>
          <w:szCs w:val="24"/>
        </w:rPr>
        <w:t>финасиран от ЕК, DG "Employment and Social Affairs and Inclusion" и</w:t>
      </w:r>
      <w:r w:rsidRPr="00BD5BB8">
        <w:rPr>
          <w:rFonts w:ascii="Times New Roman" w:eastAsia="Calibri" w:hAnsi="Times New Roman" w:cs="Times New Roman"/>
          <w:bCs/>
          <w:sz w:val="24"/>
          <w:szCs w:val="24"/>
        </w:rPr>
        <w:t xml:space="preserve"> Макс Планк Институт за застаряване, Мюнхен  </w:t>
      </w:r>
      <w:r w:rsidRPr="00BD5BB8">
        <w:rPr>
          <w:rFonts w:ascii="Times New Roman" w:eastAsia="Calibri" w:hAnsi="Times New Roman" w:cs="Times New Roman"/>
          <w:bCs/>
          <w:iCs/>
          <w:sz w:val="24"/>
          <w:szCs w:val="24"/>
        </w:rPr>
        <w:t>в рамките на проект</w:t>
      </w:r>
      <w:r w:rsidRPr="00BD5BB8">
        <w:rPr>
          <w:rFonts w:ascii="Times New Roman" w:eastAsia="Calibri" w:hAnsi="Times New Roman" w:cs="Times New Roman"/>
          <w:bCs/>
          <w:i/>
          <w:iCs/>
          <w:sz w:val="24"/>
          <w:szCs w:val="24"/>
        </w:rPr>
        <w:t xml:space="preserve"> „Разширяване на обхвата на изследването SHARE сред всички държави членки с минимален размер извадка, позволяващо по-добър мониторинг на стареенето" </w:t>
      </w:r>
      <w:r w:rsidRPr="00BD5BB8">
        <w:rPr>
          <w:rFonts w:ascii="Times New Roman" w:eastAsia="Calibri" w:hAnsi="Times New Roman" w:cs="Times New Roman"/>
          <w:bCs/>
          <w:sz w:val="24"/>
          <w:szCs w:val="24"/>
        </w:rPr>
        <w:t>с</w:t>
      </w:r>
      <w:r w:rsidRPr="00BD5BB8">
        <w:rPr>
          <w:rFonts w:ascii="Times New Roman" w:eastAsia="Calibri" w:hAnsi="Times New Roman" w:cs="Times New Roman"/>
          <w:bCs/>
          <w:i/>
          <w:iCs/>
          <w:sz w:val="24"/>
          <w:szCs w:val="24"/>
        </w:rPr>
        <w:t xml:space="preserve"> </w:t>
      </w:r>
      <w:r w:rsidRPr="00BD5BB8">
        <w:rPr>
          <w:rFonts w:ascii="Times New Roman" w:eastAsia="Calibri" w:hAnsi="Times New Roman" w:cs="Times New Roman"/>
          <w:bCs/>
          <w:sz w:val="24"/>
          <w:szCs w:val="24"/>
        </w:rPr>
        <w:t xml:space="preserve">ръководител на българския екип гл. ас. д-р Екатерина Маркова, 2016 – 2019 г., както и по национален проект </w:t>
      </w:r>
      <w:r w:rsidRPr="00BD5BB8">
        <w:rPr>
          <w:rFonts w:ascii="Times New Roman" w:eastAsia="Calibri" w:hAnsi="Times New Roman" w:cs="Times New Roman"/>
          <w:i/>
          <w:iCs/>
          <w:sz w:val="24"/>
          <w:szCs w:val="24"/>
        </w:rPr>
        <w:t>„SHARE ERIC България”,</w:t>
      </w:r>
      <w:r w:rsidRPr="00BD5BB8">
        <w:rPr>
          <w:rFonts w:ascii="Times New Roman" w:eastAsia="Calibri" w:hAnsi="Times New Roman" w:cs="Times New Roman"/>
          <w:b/>
          <w:bCs/>
          <w:sz w:val="24"/>
          <w:szCs w:val="24"/>
        </w:rPr>
        <w:t xml:space="preserve"> </w:t>
      </w:r>
      <w:r w:rsidRPr="00BD5BB8">
        <w:rPr>
          <w:rFonts w:ascii="Times New Roman" w:eastAsia="Calibri" w:hAnsi="Times New Roman" w:cs="Times New Roman"/>
          <w:sz w:val="24"/>
          <w:szCs w:val="24"/>
        </w:rPr>
        <w:t xml:space="preserve">финансиран от МОН, също с ръководител </w:t>
      </w:r>
      <w:r w:rsidRPr="00BD5BB8">
        <w:rPr>
          <w:rFonts w:ascii="Times New Roman" w:eastAsia="Calibri" w:hAnsi="Times New Roman" w:cs="Times New Roman"/>
          <w:bCs/>
          <w:sz w:val="24"/>
          <w:szCs w:val="24"/>
        </w:rPr>
        <w:t>гл. ас. д-р Екатерина Маркова и срок на изпълнение 2018 – 2022.</w:t>
      </w:r>
    </w:p>
    <w:p w:rsidR="002E685E" w:rsidRPr="00BD5BB8" w:rsidRDefault="002E685E" w:rsidP="002E685E">
      <w:pPr>
        <w:spacing w:after="0" w:line="240" w:lineRule="auto"/>
        <w:ind w:firstLine="709"/>
        <w:contextualSpacing/>
        <w:rPr>
          <w:rFonts w:ascii="Times New Roman" w:eastAsia="Calibri" w:hAnsi="Times New Roman" w:cs="Times New Roman"/>
          <w:sz w:val="24"/>
          <w:szCs w:val="24"/>
        </w:rPr>
      </w:pPr>
      <w:r w:rsidRPr="00BD5BB8">
        <w:rPr>
          <w:rFonts w:ascii="Times New Roman" w:eastAsia="Calibri" w:hAnsi="Times New Roman" w:cs="Times New Roman"/>
          <w:sz w:val="24"/>
          <w:szCs w:val="24"/>
        </w:rPr>
        <w:t>В рамките на двата проекта са осъществени следните дейности:</w:t>
      </w:r>
    </w:p>
    <w:p w:rsidR="002E685E" w:rsidRPr="00BD5BB8" w:rsidRDefault="002E685E" w:rsidP="002E685E">
      <w:pPr>
        <w:spacing w:after="0" w:line="240" w:lineRule="auto"/>
        <w:ind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1. Адаптиран и преведен е на български език въпросник за социално-демографско изследване и житейски истории на хората на възраст 50 и повече години.</w:t>
      </w:r>
    </w:p>
    <w:p w:rsidR="002E685E" w:rsidRPr="00BD5BB8" w:rsidRDefault="002E685E" w:rsidP="002E685E">
      <w:pPr>
        <w:spacing w:after="0" w:line="240" w:lineRule="auto"/>
        <w:ind w:firstLine="709"/>
        <w:contextualSpacing/>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2. Адаптирана е компютърна програма за стандартизирано интервю в дома на респондента.</w:t>
      </w:r>
    </w:p>
    <w:p w:rsidR="002E685E" w:rsidRPr="00BD5BB8" w:rsidRDefault="002E685E" w:rsidP="002E685E">
      <w:pPr>
        <w:spacing w:after="0" w:line="240" w:lineRule="auto"/>
        <w:ind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3. Проведено е национално-представително изследване сред населението на страната.</w:t>
      </w:r>
    </w:p>
    <w:p w:rsidR="002E685E" w:rsidRPr="00BD5BB8" w:rsidRDefault="002E685E" w:rsidP="002E685E">
      <w:pPr>
        <w:spacing w:after="0" w:line="240" w:lineRule="auto"/>
        <w:ind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Събрани са данни за социално-демографската информация, житейските истории, семейната среда и партньорските отношения, здравния, трудовия и пенсионен статус на лица на 50 и повече години, които ще бъдат проследени отново след 2 годишен период. Данните са публично достъпни за изграждане и адаптиране на политиките, насочени към възрастните хора. Членовете на екипа са провели десетки обучения на служители в държавни, общински и частни институции и организации, имащи отношение към възрастните хора, здравето и стареенето.</w:t>
      </w:r>
    </w:p>
    <w:p w:rsidR="002E685E" w:rsidRPr="00BD5BB8" w:rsidRDefault="002E685E" w:rsidP="002E685E">
      <w:pPr>
        <w:spacing w:after="0" w:line="240" w:lineRule="auto"/>
        <w:ind w:firstLine="709"/>
        <w:rPr>
          <w:rFonts w:ascii="Times New Roman" w:hAnsi="Times New Roman" w:cs="Times New Roman"/>
          <w:b/>
          <w:caps/>
          <w:color w:val="C0504D" w:themeColor="accent2"/>
          <w:sz w:val="24"/>
          <w:szCs w:val="24"/>
        </w:rPr>
      </w:pPr>
    </w:p>
    <w:p w:rsidR="002E685E" w:rsidRPr="00BD5BB8" w:rsidRDefault="002E685E" w:rsidP="005F2097">
      <w:pPr>
        <w:spacing w:after="0" w:line="240" w:lineRule="auto"/>
        <w:jc w:val="center"/>
        <w:rPr>
          <w:rFonts w:ascii="Times New Roman" w:hAnsi="Times New Roman" w:cs="Times New Roman"/>
          <w:b/>
          <w:caps/>
          <w:color w:val="C0504D" w:themeColor="accent2"/>
          <w:sz w:val="24"/>
          <w:szCs w:val="24"/>
        </w:rPr>
      </w:pPr>
    </w:p>
    <w:p w:rsidR="005F2097" w:rsidRPr="00BD5BB8" w:rsidRDefault="005F2097" w:rsidP="005F2097">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cs="Times New Roman"/>
          <w:b/>
          <w:caps/>
          <w:color w:val="C0504D" w:themeColor="accent2"/>
          <w:sz w:val="24"/>
          <w:szCs w:val="24"/>
        </w:rPr>
        <w:t>Министерство на ОКОЛНАТА СРЕДА И ВОДИТЕ (МОСВ)</w:t>
      </w:r>
    </w:p>
    <w:p w:rsidR="005F2097" w:rsidRPr="00BD5BB8" w:rsidRDefault="005F2097" w:rsidP="005F2097">
      <w:pPr>
        <w:spacing w:after="0" w:line="240" w:lineRule="auto"/>
        <w:jc w:val="center"/>
        <w:rPr>
          <w:rFonts w:ascii="Times New Roman" w:hAnsi="Times New Roman" w:cs="Times New Roman"/>
          <w:b/>
          <w:caps/>
          <w:sz w:val="24"/>
          <w:szCs w:val="24"/>
        </w:rPr>
      </w:pPr>
    </w:p>
    <w:p w:rsidR="008B67B8" w:rsidRPr="00BD5BB8" w:rsidRDefault="008B67B8" w:rsidP="008B67B8">
      <w:pPr>
        <w:spacing w:after="0" w:line="240" w:lineRule="auto"/>
        <w:ind w:firstLine="709"/>
        <w:jc w:val="both"/>
        <w:rPr>
          <w:rFonts w:ascii="Times New Roman" w:eastAsia="Calibri" w:hAnsi="Times New Roman" w:cs="Times New Roman"/>
          <w:sz w:val="24"/>
          <w:szCs w:val="24"/>
          <w:bdr w:val="none" w:sz="0" w:space="0" w:color="auto" w:frame="1"/>
          <w:lang w:eastAsia="bg-BG"/>
        </w:rPr>
      </w:pPr>
      <w:r w:rsidRPr="00BD5BB8">
        <w:rPr>
          <w:rFonts w:ascii="Times New Roman" w:eastAsia="Calibri" w:hAnsi="Times New Roman" w:cs="Times New Roman"/>
          <w:sz w:val="24"/>
          <w:szCs w:val="24"/>
          <w:bdr w:val="none" w:sz="0" w:space="0" w:color="auto" w:frame="1"/>
          <w:lang w:eastAsia="bg-BG"/>
        </w:rPr>
        <w:t>Съгласно Националния механизъм за прилагане на  Националната концепция за насърчаване на активния живот на възрастните хора (2012 – 2030 г.) МОСВ не разполага с приложими индикатори и не е между отговорните институции за изпълнението на заложените в нея оперативни цели, но въпреки това в процеса на изпълнението на политиките и целите за опазване на околната среда ведомството съблюдава и прилага принципите, залегнали в Концепцията – при изпълнението на мерки, свързани с: превенция на човешкото здраве чрез контрол върху състоянието на отделните компоненти на околната среда; повишаване на стандарта и качеството на живот на цялото население на страната, включително на възрастните хора, чрез изграждане на стратегическата екологична инфраструктура; повишаване на информираността на населението от всички възрасти относно перспективите пред страната за посрещане на демографските предизвикателства и пр. Доколкото повишаването на стандарта и качеството на живот на населението е ключов елемент на правителствената политика, МОСВ не се чувства изолирано от процеса на прилагане на Националната концепция за насърчаване на активния живот на възрастните хора.</w:t>
      </w:r>
    </w:p>
    <w:p w:rsidR="005F2097" w:rsidRPr="00BD5BB8" w:rsidRDefault="005F2097" w:rsidP="005F2097">
      <w:pPr>
        <w:rPr>
          <w:rFonts w:ascii="Times New Roman" w:eastAsia="Times New Roman" w:hAnsi="Times New Roman"/>
          <w:sz w:val="24"/>
          <w:szCs w:val="24"/>
        </w:rPr>
      </w:pPr>
      <w:r w:rsidRPr="00BD5BB8">
        <w:rPr>
          <w:rFonts w:ascii="Times New Roman" w:eastAsia="Times New Roman" w:hAnsi="Times New Roman"/>
          <w:sz w:val="24"/>
          <w:szCs w:val="24"/>
        </w:rPr>
        <w:br w:type="page"/>
      </w:r>
    </w:p>
    <w:p w:rsidR="005F2097" w:rsidRPr="00BD5BB8" w:rsidRDefault="005F2097" w:rsidP="005F2097">
      <w:pPr>
        <w:shd w:val="clear" w:color="auto" w:fill="92D050"/>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lastRenderedPageBreak/>
        <w:t>Оперативна цел № 3</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 xml:space="preserve">Осигуряване на условия за достъп до здравни услуги и удължаване </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на живота на възрастните хора в добро здраве</w:t>
      </w:r>
    </w:p>
    <w:p w:rsidR="005F2097" w:rsidRPr="00BD5BB8" w:rsidRDefault="005F2097" w:rsidP="005F2097">
      <w:pPr>
        <w:spacing w:after="0" w:line="240" w:lineRule="auto"/>
        <w:jc w:val="both"/>
      </w:pP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3.3. Мерки за осигуряване на условия за достъп до здравни услуги и удължаване на живота на възрастните в добро здраве </w:t>
      </w: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по Оперативна цел 3 </w:t>
      </w:r>
    </w:p>
    <w:p w:rsidR="005F2097" w:rsidRPr="00BD5BB8" w:rsidRDefault="005F2097" w:rsidP="005F2097">
      <w:pPr>
        <w:spacing w:after="0" w:line="240" w:lineRule="auto"/>
        <w:contextualSpacing/>
        <w:jc w:val="center"/>
        <w:rPr>
          <w:rFonts w:ascii="Times New Roman" w:eastAsia="Times New Roman" w:hAnsi="Times New Roman" w:cs="Times New Roman"/>
          <w:b/>
          <w:sz w:val="24"/>
          <w:szCs w:val="24"/>
          <w:lang w:eastAsia="bg-BG"/>
        </w:rPr>
      </w:pPr>
    </w:p>
    <w:p w:rsidR="005F2097" w:rsidRPr="00BD5BB8" w:rsidRDefault="005F2097" w:rsidP="005F2097">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cs="Times New Roman"/>
          <w:b/>
          <w:caps/>
          <w:color w:val="C0504D" w:themeColor="accent2"/>
          <w:sz w:val="24"/>
          <w:szCs w:val="24"/>
        </w:rPr>
        <w:t>Министерство на здравеопазването (МЗ)</w:t>
      </w:r>
    </w:p>
    <w:p w:rsidR="005F2097" w:rsidRPr="00BD5BB8" w:rsidRDefault="005F2097" w:rsidP="005F2097">
      <w:pPr>
        <w:tabs>
          <w:tab w:val="left" w:pos="1134"/>
          <w:tab w:val="center" w:pos="4536"/>
          <w:tab w:val="right" w:pos="9072"/>
        </w:tabs>
        <w:spacing w:after="0" w:line="240" w:lineRule="auto"/>
        <w:outlineLvl w:val="0"/>
        <w:rPr>
          <w:rFonts w:ascii="Verdana" w:eastAsia="Calibri" w:hAnsi="Verdana" w:cs="Times New Roman"/>
          <w:sz w:val="24"/>
          <w:szCs w:val="24"/>
        </w:rPr>
      </w:pP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Гарантирането на правото на здраве е свързано със спазването на стандартите и принципит</w:t>
      </w:r>
      <w:r w:rsidRPr="00BD5BB8">
        <w:rPr>
          <w:rFonts w:ascii="Times New Roman" w:eastAsia="Times New Roman" w:hAnsi="Times New Roman" w:cs="Times New Roman"/>
          <w:color w:val="000000"/>
          <w:sz w:val="24"/>
          <w:szCs w:val="24"/>
          <w:lang w:eastAsia="bg-BG"/>
        </w:rPr>
        <w:t xml:space="preserve">е на </w:t>
      </w:r>
      <w:r w:rsidRPr="00BD5BB8">
        <w:rPr>
          <w:rFonts w:ascii="Times New Roman" w:eastAsia="Arial" w:hAnsi="Times New Roman" w:cs="Times New Roman"/>
          <w:color w:val="000000"/>
          <w:sz w:val="24"/>
          <w:szCs w:val="24"/>
          <w:lang w:eastAsia="bg-BG"/>
        </w:rPr>
        <w:t>човешките права – универсалност, справедливост, равнопоставеност, право на участие при вземане на решения, недискриминация, прозрачност и др., поради което и през периода 2017-2018 г. продължава изпълнението на мерките, заложени в Плана за действие към Националната здравна стратегия 2020, свързани с постигането на петте национални здравни цели, две от които са: Снижаване на смъртността при лицата в икономичес</w:t>
      </w:r>
      <w:r w:rsidRPr="00BD5BB8">
        <w:rPr>
          <w:rFonts w:ascii="Times New Roman" w:eastAsia="Times New Roman" w:hAnsi="Times New Roman" w:cs="Times New Roman"/>
          <w:color w:val="000000"/>
          <w:sz w:val="24"/>
          <w:szCs w:val="24"/>
          <w:lang w:eastAsia="bg-BG"/>
        </w:rPr>
        <w:t>ки активни</w:t>
      </w:r>
      <w:r w:rsidRPr="00BD5BB8">
        <w:rPr>
          <w:rFonts w:ascii="Times New Roman" w:eastAsia="Arial" w:hAnsi="Times New Roman" w:cs="Times New Roman"/>
          <w:color w:val="000000"/>
          <w:sz w:val="24"/>
          <w:szCs w:val="24"/>
          <w:lang w:eastAsia="bg-BG"/>
        </w:rPr>
        <w:t>те групи от 20-65 год</w:t>
      </w:r>
      <w:r w:rsidRPr="00BD5BB8">
        <w:rPr>
          <w:rFonts w:ascii="Times New Roman" w:eastAsia="Times New Roman" w:hAnsi="Times New Roman" w:cs="Times New Roman"/>
          <w:color w:val="000000"/>
          <w:sz w:val="24"/>
          <w:szCs w:val="24"/>
          <w:lang w:eastAsia="bg-BG"/>
        </w:rPr>
        <w:t>ишна в</w:t>
      </w:r>
      <w:r w:rsidRPr="00BD5BB8">
        <w:rPr>
          <w:rFonts w:ascii="Times New Roman" w:eastAsia="Arial" w:hAnsi="Times New Roman" w:cs="Times New Roman"/>
          <w:color w:val="000000"/>
          <w:sz w:val="24"/>
          <w:szCs w:val="24"/>
          <w:lang w:eastAsia="bg-BG"/>
        </w:rPr>
        <w:t>ъзраст до 4.19 на 1</w:t>
      </w:r>
      <w:r w:rsidRPr="00BD5BB8">
        <w:rPr>
          <w:rFonts w:ascii="Times New Roman" w:eastAsia="Times New Roman" w:hAnsi="Times New Roman" w:cs="Times New Roman"/>
          <w:color w:val="000000"/>
          <w:sz w:val="24"/>
          <w:szCs w:val="24"/>
          <w:lang w:eastAsia="bg-BG"/>
        </w:rPr>
        <w:t>00</w:t>
      </w:r>
      <w:r w:rsidRPr="00BD5BB8">
        <w:rPr>
          <w:rFonts w:ascii="Times New Roman" w:eastAsia="Arial" w:hAnsi="Times New Roman" w:cs="Times New Roman"/>
          <w:color w:val="000000"/>
          <w:sz w:val="24"/>
          <w:szCs w:val="24"/>
          <w:lang w:eastAsia="bg-BG"/>
        </w:rPr>
        <w:t>0 и увеличаване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средната продължителнос</w:t>
      </w:r>
      <w:r w:rsidRPr="00BD5BB8">
        <w:rPr>
          <w:rFonts w:ascii="Times New Roman" w:eastAsia="Times New Roman" w:hAnsi="Times New Roman" w:cs="Times New Roman"/>
          <w:color w:val="000000"/>
          <w:sz w:val="24"/>
          <w:szCs w:val="24"/>
          <w:lang w:eastAsia="bg-BG"/>
        </w:rPr>
        <w:t xml:space="preserve">т на </w:t>
      </w:r>
      <w:r w:rsidRPr="00BD5BB8">
        <w:rPr>
          <w:rFonts w:ascii="Times New Roman" w:eastAsia="Arial" w:hAnsi="Times New Roman" w:cs="Times New Roman"/>
          <w:color w:val="000000"/>
          <w:sz w:val="24"/>
          <w:szCs w:val="24"/>
          <w:lang w:eastAsia="bg-BG"/>
        </w:rPr>
        <w:t>предстоящ</w:t>
      </w:r>
      <w:r w:rsidRPr="00BD5BB8">
        <w:rPr>
          <w:rFonts w:ascii="Times New Roman" w:eastAsia="Times New Roman" w:hAnsi="Times New Roman" w:cs="Times New Roman"/>
          <w:color w:val="000000"/>
          <w:sz w:val="24"/>
          <w:szCs w:val="24"/>
          <w:lang w:eastAsia="bg-BG"/>
        </w:rPr>
        <w:t>ия ж</w:t>
      </w:r>
      <w:r w:rsidRPr="00BD5BB8">
        <w:rPr>
          <w:rFonts w:ascii="Times New Roman" w:eastAsia="Arial" w:hAnsi="Times New Roman" w:cs="Times New Roman"/>
          <w:color w:val="000000"/>
          <w:sz w:val="24"/>
          <w:szCs w:val="24"/>
          <w:lang w:eastAsia="bg-BG"/>
        </w:rPr>
        <w:t>ив</w:t>
      </w:r>
      <w:r w:rsidRPr="00BD5BB8">
        <w:rPr>
          <w:rFonts w:ascii="Times New Roman" w:eastAsia="Times New Roman" w:hAnsi="Times New Roman" w:cs="Times New Roman"/>
          <w:color w:val="000000"/>
          <w:sz w:val="24"/>
          <w:szCs w:val="24"/>
          <w:lang w:eastAsia="bg-BG"/>
        </w:rPr>
        <w:t xml:space="preserve">от на </w:t>
      </w:r>
      <w:r w:rsidRPr="00BD5BB8">
        <w:rPr>
          <w:rFonts w:ascii="Times New Roman" w:eastAsia="Arial" w:hAnsi="Times New Roman" w:cs="Times New Roman"/>
          <w:color w:val="000000"/>
          <w:sz w:val="24"/>
          <w:szCs w:val="24"/>
          <w:lang w:eastAsia="bg-BG"/>
        </w:rPr>
        <w:t xml:space="preserve">хората след </w:t>
      </w:r>
      <w:r w:rsidRPr="00BD5BB8">
        <w:rPr>
          <w:rFonts w:ascii="Times New Roman" w:eastAsia="Times New Roman" w:hAnsi="Times New Roman" w:cs="Times New Roman"/>
          <w:color w:val="000000"/>
          <w:sz w:val="24"/>
          <w:szCs w:val="24"/>
          <w:lang w:eastAsia="bg-BG"/>
        </w:rPr>
        <w:t xml:space="preserve">навършване </w:t>
      </w:r>
      <w:r w:rsidRPr="00BD5BB8">
        <w:rPr>
          <w:rFonts w:ascii="Times New Roman" w:eastAsia="Arial" w:hAnsi="Times New Roman" w:cs="Times New Roman"/>
          <w:color w:val="000000"/>
          <w:sz w:val="24"/>
          <w:szCs w:val="24"/>
          <w:lang w:eastAsia="bg-BG"/>
        </w:rPr>
        <w:t>на 65 годи</w:t>
      </w:r>
      <w:r w:rsidRPr="00BD5BB8">
        <w:rPr>
          <w:rFonts w:ascii="Times New Roman" w:eastAsia="Times New Roman" w:hAnsi="Times New Roman" w:cs="Times New Roman"/>
          <w:color w:val="000000"/>
          <w:sz w:val="24"/>
          <w:szCs w:val="24"/>
          <w:lang w:eastAsia="bg-BG"/>
        </w:rPr>
        <w:t xml:space="preserve">шна </w:t>
      </w:r>
      <w:r w:rsidRPr="00BD5BB8">
        <w:rPr>
          <w:rFonts w:ascii="Times New Roman" w:eastAsia="Arial" w:hAnsi="Times New Roman" w:cs="Times New Roman"/>
          <w:color w:val="000000"/>
          <w:sz w:val="24"/>
          <w:szCs w:val="24"/>
          <w:lang w:eastAsia="bg-BG"/>
        </w:rPr>
        <w:t>възраст до 16.4 години.</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За реализир</w:t>
      </w:r>
      <w:r w:rsidRPr="00BD5BB8">
        <w:rPr>
          <w:rFonts w:ascii="Times New Roman" w:eastAsia="Times New Roman" w:hAnsi="Times New Roman" w:cs="Times New Roman"/>
          <w:color w:val="000000"/>
          <w:sz w:val="24"/>
          <w:szCs w:val="24"/>
          <w:lang w:eastAsia="bg-BG"/>
        </w:rPr>
        <w:t xml:space="preserve">ане на </w:t>
      </w:r>
      <w:r w:rsidRPr="00BD5BB8">
        <w:rPr>
          <w:rFonts w:ascii="Times New Roman" w:eastAsia="Arial" w:hAnsi="Times New Roman" w:cs="Times New Roman"/>
          <w:color w:val="000000"/>
          <w:sz w:val="24"/>
          <w:szCs w:val="24"/>
          <w:lang w:eastAsia="bg-BG"/>
        </w:rPr>
        <w:t>целите с</w:t>
      </w:r>
      <w:r w:rsidRPr="00BD5BB8">
        <w:rPr>
          <w:rFonts w:ascii="Times New Roman" w:eastAsia="Times New Roman"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провеждат политики, насоче</w:t>
      </w:r>
      <w:r w:rsidRPr="00BD5BB8">
        <w:rPr>
          <w:rFonts w:ascii="Times New Roman" w:eastAsia="Times New Roman" w:hAnsi="Times New Roman" w:cs="Times New Roman"/>
          <w:color w:val="000000"/>
          <w:sz w:val="24"/>
          <w:szCs w:val="24"/>
          <w:lang w:eastAsia="bg-BG"/>
        </w:rPr>
        <w:t>ни к</w:t>
      </w:r>
      <w:r w:rsidRPr="00BD5BB8">
        <w:rPr>
          <w:rFonts w:ascii="Times New Roman" w:eastAsia="Arial" w:hAnsi="Times New Roman" w:cs="Times New Roman"/>
          <w:color w:val="000000"/>
          <w:sz w:val="24"/>
          <w:szCs w:val="24"/>
          <w:lang w:eastAsia="bg-BG"/>
        </w:rPr>
        <w:t>онкретно към здравет</w:t>
      </w:r>
      <w:r w:rsidRPr="00BD5BB8">
        <w:rPr>
          <w:rFonts w:ascii="Times New Roman" w:eastAsia="Courier New" w:hAnsi="Times New Roman" w:cs="Times New Roman"/>
          <w:color w:val="000000"/>
          <w:sz w:val="24"/>
          <w:szCs w:val="24"/>
          <w:lang w:eastAsia="bg-BG"/>
        </w:rPr>
        <w:t xml:space="preserve">о </w:t>
      </w:r>
      <w:r w:rsidRPr="00BD5BB8">
        <w:rPr>
          <w:rFonts w:ascii="Times New Roman" w:eastAsia="Times New Roman"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хората в работоспособна </w:t>
      </w:r>
      <w:r w:rsidRPr="00BD5BB8">
        <w:rPr>
          <w:rFonts w:ascii="Times New Roman" w:eastAsia="Courier New" w:hAnsi="Times New Roman" w:cs="Times New Roman"/>
          <w:color w:val="000000"/>
          <w:sz w:val="24"/>
          <w:szCs w:val="24"/>
          <w:lang w:eastAsia="bg-BG"/>
        </w:rPr>
        <w:t>въ</w:t>
      </w:r>
      <w:r w:rsidRPr="00BD5BB8">
        <w:rPr>
          <w:rFonts w:ascii="Times New Roman" w:eastAsia="Arial" w:hAnsi="Times New Roman" w:cs="Times New Roman"/>
          <w:color w:val="000000"/>
          <w:sz w:val="24"/>
          <w:szCs w:val="24"/>
          <w:lang w:eastAsia="bg-BG"/>
        </w:rPr>
        <w:t>зрас</w:t>
      </w:r>
      <w:r w:rsidRPr="00BD5BB8">
        <w:rPr>
          <w:rFonts w:ascii="Times New Roman" w:eastAsia="Times New Roman" w:hAnsi="Times New Roman" w:cs="Times New Roman"/>
          <w:color w:val="000000"/>
          <w:sz w:val="24"/>
          <w:szCs w:val="24"/>
          <w:lang w:eastAsia="bg-BG"/>
        </w:rPr>
        <w:t>т и въ</w:t>
      </w:r>
      <w:r w:rsidRPr="00BD5BB8">
        <w:rPr>
          <w:rFonts w:ascii="Times New Roman" w:eastAsia="Arial" w:hAnsi="Times New Roman" w:cs="Times New Roman"/>
          <w:color w:val="000000"/>
          <w:sz w:val="24"/>
          <w:szCs w:val="24"/>
          <w:lang w:eastAsia="bg-BG"/>
        </w:rPr>
        <w:t xml:space="preserve">зрастните хора, предвиждащи осигуряване </w:t>
      </w:r>
      <w:r w:rsidRPr="00BD5BB8">
        <w:rPr>
          <w:rFonts w:ascii="Times New Roman" w:eastAsia="Times New Roman"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равен достъп </w:t>
      </w:r>
      <w:r w:rsidRPr="00BD5BB8">
        <w:rPr>
          <w:rFonts w:ascii="Times New Roman" w:eastAsia="Times New Roman" w:hAnsi="Times New Roman" w:cs="Times New Roman"/>
          <w:color w:val="000000"/>
          <w:sz w:val="24"/>
          <w:szCs w:val="24"/>
          <w:lang w:eastAsia="bg-BG"/>
        </w:rPr>
        <w:t>до ка</w:t>
      </w:r>
      <w:r w:rsidRPr="00BD5BB8">
        <w:rPr>
          <w:rFonts w:ascii="Times New Roman" w:eastAsia="Arial" w:hAnsi="Times New Roman" w:cs="Times New Roman"/>
          <w:color w:val="000000"/>
          <w:sz w:val="24"/>
          <w:szCs w:val="24"/>
          <w:lang w:eastAsia="bg-BG"/>
        </w:rPr>
        <w:t xml:space="preserve">чествени здравни дейности в съответствие с потребностите; разширяване на основния пакет здравни дейности, заплащан от НЗОК в областта на профилактиката, диагностиката и лечението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заболяванията, които са най-честа пр</w:t>
      </w:r>
      <w:r w:rsidRPr="00BD5BB8">
        <w:rPr>
          <w:rFonts w:ascii="Times New Roman" w:eastAsia="Times New Roman" w:hAnsi="Times New Roman" w:cs="Times New Roman"/>
          <w:color w:val="000000"/>
          <w:sz w:val="24"/>
          <w:szCs w:val="24"/>
          <w:lang w:eastAsia="bg-BG"/>
        </w:rPr>
        <w:t xml:space="preserve">ичина за </w:t>
      </w:r>
      <w:r w:rsidRPr="00BD5BB8">
        <w:rPr>
          <w:rFonts w:ascii="Times New Roman" w:eastAsia="Arial" w:hAnsi="Times New Roman" w:cs="Times New Roman"/>
          <w:color w:val="000000"/>
          <w:sz w:val="24"/>
          <w:szCs w:val="24"/>
          <w:lang w:eastAsia="bg-BG"/>
        </w:rPr>
        <w:t xml:space="preserve">преждевременна смъртност и неработоспособност; реализиране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ефектив</w:t>
      </w:r>
      <w:r w:rsidRPr="00BD5BB8">
        <w:rPr>
          <w:rFonts w:ascii="Times New Roman" w:eastAsia="Times New Roman" w:hAnsi="Times New Roman" w:cs="Times New Roman"/>
          <w:color w:val="000000"/>
          <w:sz w:val="24"/>
          <w:szCs w:val="24"/>
          <w:lang w:eastAsia="bg-BG"/>
        </w:rPr>
        <w:t xml:space="preserve">ни </w:t>
      </w:r>
      <w:r w:rsidRPr="00BD5BB8">
        <w:rPr>
          <w:rFonts w:ascii="Times New Roman" w:eastAsia="Arial" w:hAnsi="Times New Roman" w:cs="Times New Roman"/>
          <w:color w:val="000000"/>
          <w:sz w:val="24"/>
          <w:szCs w:val="24"/>
          <w:lang w:eastAsia="bg-BG"/>
        </w:rPr>
        <w:t>програм</w:t>
      </w:r>
      <w:r w:rsidRPr="00BD5BB8">
        <w:rPr>
          <w:rFonts w:ascii="Times New Roman" w:eastAsia="Times New Roman" w:hAnsi="Times New Roman" w:cs="Times New Roman"/>
          <w:color w:val="000000"/>
          <w:sz w:val="24"/>
          <w:szCs w:val="24"/>
          <w:lang w:eastAsia="bg-BG"/>
        </w:rPr>
        <w:t>и за п</w:t>
      </w:r>
      <w:r w:rsidRPr="00BD5BB8">
        <w:rPr>
          <w:rFonts w:ascii="Times New Roman" w:eastAsia="Arial" w:hAnsi="Times New Roman" w:cs="Times New Roman"/>
          <w:color w:val="000000"/>
          <w:sz w:val="24"/>
          <w:szCs w:val="24"/>
          <w:lang w:eastAsia="bg-BG"/>
        </w:rPr>
        <w:t>ромоция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здраве и про</w:t>
      </w:r>
      <w:r w:rsidRPr="00BD5BB8">
        <w:rPr>
          <w:rFonts w:ascii="Times New Roman" w:eastAsia="Times New Roman" w:hAnsi="Times New Roman" w:cs="Times New Roman"/>
          <w:color w:val="000000"/>
          <w:sz w:val="24"/>
          <w:szCs w:val="24"/>
          <w:lang w:eastAsia="bg-BG"/>
        </w:rPr>
        <w:t>ф</w:t>
      </w:r>
      <w:r w:rsidRPr="00BD5BB8">
        <w:rPr>
          <w:rFonts w:ascii="Times New Roman" w:eastAsia="Arial" w:hAnsi="Times New Roman" w:cs="Times New Roman"/>
          <w:color w:val="000000"/>
          <w:sz w:val="24"/>
          <w:szCs w:val="24"/>
          <w:lang w:eastAsia="bg-BG"/>
        </w:rPr>
        <w:t>илактика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болестите и насърчаване на здравословен начин на живот през целия жизнен цикъл и здравословно остаряване. Усилията са насочени към осигуряване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ефективна гриж</w:t>
      </w:r>
      <w:r w:rsidRPr="00BD5BB8">
        <w:rPr>
          <w:rFonts w:ascii="Times New Roman" w:eastAsia="Courier New" w:hAnsi="Times New Roman" w:cs="Times New Roman"/>
          <w:color w:val="000000"/>
          <w:sz w:val="24"/>
          <w:szCs w:val="24"/>
          <w:lang w:eastAsia="bg-BG"/>
        </w:rPr>
        <w:t>а 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уязвими групи </w:t>
      </w:r>
      <w:r w:rsidRPr="00BD5BB8">
        <w:rPr>
          <w:rFonts w:ascii="Times New Roman" w:eastAsia="Times New Roman" w:hAnsi="Times New Roman" w:cs="Times New Roman"/>
          <w:color w:val="000000"/>
          <w:sz w:val="24"/>
          <w:szCs w:val="24"/>
          <w:lang w:eastAsia="bg-BG"/>
        </w:rPr>
        <w:t xml:space="preserve">от </w:t>
      </w:r>
      <w:r w:rsidRPr="00BD5BB8">
        <w:rPr>
          <w:rFonts w:ascii="Times New Roman" w:eastAsia="Arial" w:hAnsi="Times New Roman" w:cs="Times New Roman"/>
          <w:color w:val="000000"/>
          <w:sz w:val="24"/>
          <w:szCs w:val="24"/>
          <w:lang w:eastAsia="bg-BG"/>
        </w:rPr>
        <w:t xml:space="preserve">населението, както и </w:t>
      </w:r>
      <w:r w:rsidRPr="00BD5BB8">
        <w:rPr>
          <w:rFonts w:ascii="Times New Roman" w:eastAsia="Times New Roman" w:hAnsi="Times New Roman" w:cs="Times New Roman"/>
          <w:color w:val="000000"/>
          <w:sz w:val="24"/>
          <w:szCs w:val="24"/>
          <w:lang w:eastAsia="bg-BG"/>
        </w:rPr>
        <w:t>за н</w:t>
      </w:r>
      <w:r w:rsidRPr="00BD5BB8">
        <w:rPr>
          <w:rFonts w:ascii="Times New Roman" w:eastAsia="Arial" w:hAnsi="Times New Roman" w:cs="Times New Roman"/>
          <w:color w:val="000000"/>
          <w:sz w:val="24"/>
          <w:szCs w:val="24"/>
          <w:lang w:eastAsia="bg-BG"/>
        </w:rPr>
        <w:t>аселението о</w:t>
      </w:r>
      <w:r w:rsidRPr="00BD5BB8">
        <w:rPr>
          <w:rFonts w:ascii="Times New Roman" w:eastAsia="Courier New" w:hAnsi="Times New Roman" w:cs="Times New Roman"/>
          <w:color w:val="000000"/>
          <w:sz w:val="24"/>
          <w:szCs w:val="24"/>
          <w:lang w:eastAsia="bg-BG"/>
        </w:rPr>
        <w:t xml:space="preserve">т </w:t>
      </w:r>
      <w:r w:rsidRPr="00BD5BB8">
        <w:rPr>
          <w:rFonts w:ascii="Times New Roman" w:eastAsia="Arial" w:hAnsi="Times New Roman" w:cs="Times New Roman"/>
          <w:color w:val="000000"/>
          <w:sz w:val="24"/>
          <w:szCs w:val="24"/>
          <w:lang w:eastAsia="bg-BG"/>
        </w:rPr>
        <w:t>малките населен</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места и отдалечените и труднодостъп</w:t>
      </w:r>
      <w:r w:rsidRPr="00BD5BB8">
        <w:rPr>
          <w:rFonts w:ascii="Times New Roman" w:eastAsia="Times New Roman" w:hAnsi="Times New Roman" w:cs="Times New Roman"/>
          <w:color w:val="000000"/>
          <w:sz w:val="24"/>
          <w:szCs w:val="24"/>
          <w:lang w:eastAsia="bg-BG"/>
        </w:rPr>
        <w:t xml:space="preserve">ни </w:t>
      </w:r>
      <w:r w:rsidRPr="00BD5BB8">
        <w:rPr>
          <w:rFonts w:ascii="Times New Roman" w:eastAsia="Arial" w:hAnsi="Times New Roman" w:cs="Times New Roman"/>
          <w:color w:val="000000"/>
          <w:sz w:val="24"/>
          <w:szCs w:val="24"/>
          <w:lang w:eastAsia="bg-BG"/>
        </w:rPr>
        <w:t>райони. Предвидено е развит</w:t>
      </w:r>
      <w:r w:rsidRPr="00BD5BB8">
        <w:rPr>
          <w:rFonts w:ascii="Times New Roman" w:eastAsia="Times New Roman" w:hAnsi="Times New Roman" w:cs="Times New Roman"/>
          <w:color w:val="000000"/>
          <w:sz w:val="24"/>
          <w:szCs w:val="24"/>
          <w:lang w:eastAsia="bg-BG"/>
        </w:rPr>
        <w:t xml:space="preserve">ие на </w:t>
      </w:r>
      <w:r w:rsidRPr="00BD5BB8">
        <w:rPr>
          <w:rFonts w:ascii="Times New Roman" w:eastAsia="Arial" w:hAnsi="Times New Roman" w:cs="Times New Roman"/>
          <w:color w:val="000000"/>
          <w:sz w:val="24"/>
          <w:szCs w:val="24"/>
          <w:lang w:eastAsia="bg-BG"/>
        </w:rPr>
        <w:t>специализирани здравн</w:t>
      </w:r>
      <w:r w:rsidRPr="00BD5BB8">
        <w:rPr>
          <w:rFonts w:ascii="Times New Roman" w:eastAsia="Times New Roman" w:hAnsi="Times New Roman" w:cs="Times New Roman"/>
          <w:color w:val="000000"/>
          <w:sz w:val="24"/>
          <w:szCs w:val="24"/>
          <w:lang w:eastAsia="bg-BG"/>
        </w:rPr>
        <w:t>и ус</w:t>
      </w:r>
      <w:r w:rsidRPr="00BD5BB8">
        <w:rPr>
          <w:rFonts w:ascii="Times New Roman" w:eastAsia="Courier New" w:hAnsi="Times New Roman" w:cs="Times New Roman"/>
          <w:color w:val="000000"/>
          <w:sz w:val="24"/>
          <w:szCs w:val="24"/>
          <w:lang w:eastAsia="bg-BG"/>
        </w:rPr>
        <w:t>л</w:t>
      </w:r>
      <w:r w:rsidRPr="00BD5BB8">
        <w:rPr>
          <w:rFonts w:ascii="Times New Roman" w:eastAsia="Arial" w:hAnsi="Times New Roman" w:cs="Times New Roman"/>
          <w:color w:val="000000"/>
          <w:sz w:val="24"/>
          <w:szCs w:val="24"/>
          <w:lang w:eastAsia="bg-BG"/>
        </w:rPr>
        <w:t>уг</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Times New Roman" w:hAnsi="Times New Roman" w:cs="Times New Roman"/>
          <w:color w:val="000000"/>
          <w:sz w:val="24"/>
          <w:szCs w:val="24"/>
          <w:lang w:eastAsia="bg-BG"/>
        </w:rPr>
        <w:t xml:space="preserve">за </w:t>
      </w:r>
      <w:r w:rsidRPr="00BD5BB8">
        <w:rPr>
          <w:rFonts w:ascii="Times New Roman" w:eastAsia="Arial" w:hAnsi="Times New Roman" w:cs="Times New Roman"/>
          <w:color w:val="000000"/>
          <w:sz w:val="24"/>
          <w:szCs w:val="24"/>
          <w:lang w:eastAsia="bg-BG"/>
        </w:rPr>
        <w:t>превенц</w:t>
      </w:r>
      <w:r w:rsidRPr="00BD5BB8">
        <w:rPr>
          <w:rFonts w:ascii="Times New Roman" w:eastAsia="Times New Roman" w:hAnsi="Times New Roman" w:cs="Times New Roman"/>
          <w:color w:val="000000"/>
          <w:sz w:val="24"/>
          <w:szCs w:val="24"/>
          <w:lang w:eastAsia="bg-BG"/>
        </w:rPr>
        <w:t>ия на заб</w:t>
      </w:r>
      <w:r w:rsidRPr="00BD5BB8">
        <w:rPr>
          <w:rFonts w:ascii="Times New Roman" w:eastAsia="Arial" w:hAnsi="Times New Roman" w:cs="Times New Roman"/>
          <w:color w:val="000000"/>
          <w:sz w:val="24"/>
          <w:szCs w:val="24"/>
          <w:lang w:eastAsia="bg-BG"/>
        </w:rPr>
        <w:t>олява</w:t>
      </w:r>
      <w:r w:rsidRPr="00BD5BB8">
        <w:rPr>
          <w:rFonts w:ascii="Times New Roman" w:eastAsia="Times New Roman" w:hAnsi="Times New Roman" w:cs="Times New Roman"/>
          <w:color w:val="000000"/>
          <w:sz w:val="24"/>
          <w:szCs w:val="24"/>
          <w:lang w:eastAsia="bg-BG"/>
        </w:rPr>
        <w:t xml:space="preserve">нията </w:t>
      </w:r>
      <w:r w:rsidRPr="00BD5BB8">
        <w:rPr>
          <w:rFonts w:ascii="Times New Roman" w:eastAsia="Arial" w:hAnsi="Times New Roman" w:cs="Times New Roman"/>
          <w:color w:val="000000"/>
          <w:sz w:val="24"/>
          <w:szCs w:val="24"/>
          <w:lang w:eastAsia="bg-BG"/>
        </w:rPr>
        <w:t>и усложненията, характерн</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възрастните хора; подкреп</w:t>
      </w:r>
      <w:r w:rsidRPr="00BD5BB8">
        <w:rPr>
          <w:rFonts w:ascii="Times New Roman" w:eastAsia="Times New Roman" w:hAnsi="Times New Roman" w:cs="Times New Roman"/>
          <w:color w:val="000000"/>
          <w:sz w:val="24"/>
          <w:szCs w:val="24"/>
          <w:lang w:eastAsia="bg-BG"/>
        </w:rPr>
        <w:t>а н</w:t>
      </w:r>
      <w:r w:rsidRPr="00BD5BB8">
        <w:rPr>
          <w:rFonts w:ascii="Times New Roman" w:eastAsia="Courier New" w:hAnsi="Times New Roman" w:cs="Times New Roman"/>
          <w:color w:val="000000"/>
          <w:sz w:val="24"/>
          <w:szCs w:val="24"/>
          <w:lang w:eastAsia="bg-BG"/>
        </w:rPr>
        <w:t>а м</w:t>
      </w:r>
      <w:r w:rsidRPr="00BD5BB8">
        <w:rPr>
          <w:rFonts w:ascii="Times New Roman" w:eastAsia="Arial" w:hAnsi="Times New Roman" w:cs="Times New Roman"/>
          <w:color w:val="000000"/>
          <w:sz w:val="24"/>
          <w:szCs w:val="24"/>
          <w:lang w:eastAsia="bg-BG"/>
        </w:rPr>
        <w:t>ерк</w:t>
      </w:r>
      <w:r w:rsidRPr="00BD5BB8">
        <w:rPr>
          <w:rFonts w:ascii="Times New Roman" w:eastAsia="Times New Roman" w:hAnsi="Times New Roman" w:cs="Times New Roman"/>
          <w:color w:val="000000"/>
          <w:sz w:val="24"/>
          <w:szCs w:val="24"/>
          <w:lang w:eastAsia="bg-BG"/>
        </w:rPr>
        <w:t>и 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преминаване </w:t>
      </w:r>
      <w:r w:rsidRPr="00BD5BB8">
        <w:rPr>
          <w:rFonts w:ascii="Times New Roman" w:eastAsia="Times New Roman" w:hAnsi="Times New Roman" w:cs="Times New Roman"/>
          <w:color w:val="000000"/>
          <w:sz w:val="24"/>
          <w:szCs w:val="24"/>
          <w:lang w:eastAsia="bg-BG"/>
        </w:rPr>
        <w:t>о</w:t>
      </w:r>
      <w:r w:rsidRPr="00BD5BB8">
        <w:rPr>
          <w:rFonts w:ascii="Times New Roman" w:eastAsia="Courier New" w:hAnsi="Times New Roman" w:cs="Times New Roman"/>
          <w:color w:val="000000"/>
          <w:sz w:val="24"/>
          <w:szCs w:val="24"/>
          <w:lang w:eastAsia="bg-BG"/>
        </w:rPr>
        <w:t>т и</w:t>
      </w:r>
      <w:r w:rsidRPr="00BD5BB8">
        <w:rPr>
          <w:rFonts w:ascii="Times New Roman" w:eastAsia="Arial" w:hAnsi="Times New Roman" w:cs="Times New Roman"/>
          <w:color w:val="000000"/>
          <w:sz w:val="24"/>
          <w:szCs w:val="24"/>
          <w:lang w:eastAsia="bg-BG"/>
        </w:rPr>
        <w:t xml:space="preserve">нституционален и медицински модел на грижи за възрастните хора към услуги, предлагани в </w:t>
      </w:r>
      <w:r w:rsidRPr="00BD5BB8">
        <w:rPr>
          <w:rFonts w:ascii="Times New Roman" w:eastAsia="Times New Roman" w:hAnsi="Times New Roman" w:cs="Times New Roman"/>
          <w:color w:val="000000"/>
          <w:sz w:val="24"/>
          <w:szCs w:val="24"/>
          <w:lang w:eastAsia="bg-BG"/>
        </w:rPr>
        <w:t>общ</w:t>
      </w:r>
      <w:r w:rsidRPr="00BD5BB8">
        <w:rPr>
          <w:rFonts w:ascii="Times New Roman" w:eastAsia="Arial" w:hAnsi="Times New Roman" w:cs="Times New Roman"/>
          <w:color w:val="000000"/>
          <w:sz w:val="24"/>
          <w:szCs w:val="24"/>
          <w:lang w:eastAsia="bg-BG"/>
        </w:rPr>
        <w:t xml:space="preserve">ността и семейната среда, вкл. развитие </w:t>
      </w:r>
      <w:r w:rsidRPr="00BD5BB8">
        <w:rPr>
          <w:rFonts w:ascii="Times New Roman" w:eastAsia="Courier New" w:hAnsi="Times New Roman" w:cs="Times New Roman"/>
          <w:color w:val="000000"/>
          <w:sz w:val="24"/>
          <w:szCs w:val="24"/>
          <w:lang w:eastAsia="bg-BG"/>
        </w:rPr>
        <w:t>на дъ</w:t>
      </w:r>
      <w:r w:rsidRPr="00BD5BB8">
        <w:rPr>
          <w:rFonts w:ascii="Times New Roman" w:eastAsia="Arial" w:hAnsi="Times New Roman" w:cs="Times New Roman"/>
          <w:color w:val="000000"/>
          <w:sz w:val="24"/>
          <w:szCs w:val="24"/>
          <w:lang w:eastAsia="bg-BG"/>
        </w:rPr>
        <w:t>лгосрочната грижа, както и подкрепа за изграждане на адекватна мрежа от интегрирани здравно-социални услуги в общността и домашна среда.</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В съответствие със стратегическите цели през 2017 и 2018 г. се приеха промени в основните закони, регулиращи здравната система – Закон за здравето (33), Закона за лечебните заведения (ЗЛ3), Закона з</w:t>
      </w:r>
      <w:r w:rsidRPr="00BD5BB8">
        <w:rPr>
          <w:rFonts w:ascii="Times New Roman" w:eastAsia="Times New Roman" w:hAnsi="Times New Roman" w:cs="Times New Roman"/>
          <w:color w:val="000000"/>
          <w:sz w:val="24"/>
          <w:szCs w:val="24"/>
          <w:lang w:eastAsia="bg-BG"/>
        </w:rPr>
        <w:t>а л</w:t>
      </w:r>
      <w:r w:rsidRPr="00BD5BB8">
        <w:rPr>
          <w:rFonts w:ascii="Times New Roman" w:eastAsia="Arial" w:hAnsi="Times New Roman" w:cs="Times New Roman"/>
          <w:color w:val="000000"/>
          <w:sz w:val="24"/>
          <w:szCs w:val="24"/>
          <w:lang w:eastAsia="bg-BG"/>
        </w:rPr>
        <w:t>екарствените продукти в хуманната медицина (ЗЛІIXM), Закона за здравното осигуряване (330).</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Предприетите мерки са свързани с разширяване на обхвата на профилактичните прегледи и скри</w:t>
      </w:r>
      <w:r w:rsidRPr="00BD5BB8">
        <w:rPr>
          <w:rFonts w:ascii="Times New Roman" w:eastAsia="Times New Roman" w:hAnsi="Times New Roman" w:cs="Times New Roman"/>
          <w:color w:val="000000"/>
          <w:sz w:val="24"/>
          <w:szCs w:val="24"/>
          <w:lang w:eastAsia="bg-BG"/>
        </w:rPr>
        <w:t>нинг</w:t>
      </w:r>
      <w:r w:rsidRPr="00BD5BB8">
        <w:rPr>
          <w:rFonts w:ascii="Times New Roman" w:eastAsia="Arial" w:hAnsi="Times New Roman" w:cs="Times New Roman"/>
          <w:color w:val="000000"/>
          <w:sz w:val="24"/>
          <w:szCs w:val="24"/>
          <w:lang w:eastAsia="bg-BG"/>
        </w:rPr>
        <w:t xml:space="preserve">овите програми с фокус върху социално-значимите заболявания, изготвяне, утвърждаване и осигуряване </w:t>
      </w:r>
      <w:r w:rsidRPr="00BD5BB8">
        <w:rPr>
          <w:rFonts w:ascii="Times New Roman" w:eastAsia="Times New Roman" w:hAnsi="Times New Roman" w:cs="Times New Roman"/>
          <w:color w:val="000000"/>
          <w:sz w:val="24"/>
          <w:szCs w:val="24"/>
          <w:lang w:eastAsia="bg-BG"/>
        </w:rPr>
        <w:t>на при</w:t>
      </w:r>
      <w:r w:rsidRPr="00BD5BB8">
        <w:rPr>
          <w:rFonts w:ascii="Times New Roman" w:eastAsia="Arial" w:hAnsi="Times New Roman" w:cs="Times New Roman"/>
          <w:color w:val="000000"/>
          <w:sz w:val="24"/>
          <w:szCs w:val="24"/>
          <w:lang w:eastAsia="bg-BG"/>
        </w:rPr>
        <w:t xml:space="preserve">ложението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Н</w:t>
      </w:r>
      <w:r w:rsidRPr="00BD5BB8">
        <w:rPr>
          <w:rFonts w:ascii="Times New Roman" w:eastAsia="Times New Roman" w:hAnsi="Times New Roman" w:cs="Times New Roman"/>
          <w:color w:val="000000"/>
          <w:sz w:val="24"/>
          <w:szCs w:val="24"/>
          <w:lang w:eastAsia="bg-BG"/>
        </w:rPr>
        <w:t>ацион</w:t>
      </w:r>
      <w:r w:rsidRPr="00BD5BB8">
        <w:rPr>
          <w:rFonts w:ascii="Times New Roman" w:eastAsia="Arial" w:hAnsi="Times New Roman" w:cs="Times New Roman"/>
          <w:color w:val="000000"/>
          <w:sz w:val="24"/>
          <w:szCs w:val="24"/>
          <w:lang w:eastAsia="bg-BG"/>
        </w:rPr>
        <w:t>алната з</w:t>
      </w:r>
      <w:r w:rsidRPr="00BD5BB8">
        <w:rPr>
          <w:rFonts w:ascii="Times New Roman" w:eastAsia="Times New Roman" w:hAnsi="Times New Roman" w:cs="Times New Roman"/>
          <w:color w:val="000000"/>
          <w:sz w:val="24"/>
          <w:szCs w:val="24"/>
          <w:lang w:eastAsia="bg-BG"/>
        </w:rPr>
        <w:t xml:space="preserve">дравна </w:t>
      </w:r>
      <w:r w:rsidRPr="00BD5BB8">
        <w:rPr>
          <w:rFonts w:ascii="Times New Roman" w:eastAsia="Arial" w:hAnsi="Times New Roman" w:cs="Times New Roman"/>
          <w:color w:val="000000"/>
          <w:sz w:val="24"/>
          <w:szCs w:val="24"/>
          <w:lang w:eastAsia="bg-BG"/>
        </w:rPr>
        <w:t xml:space="preserve">карта, с която се определят и планират потребностите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населението </w:t>
      </w:r>
      <w:r w:rsidRPr="00BD5BB8">
        <w:rPr>
          <w:rFonts w:ascii="Times New Roman" w:eastAsia="Courier New" w:hAnsi="Times New Roman" w:cs="Times New Roman"/>
          <w:color w:val="000000"/>
          <w:sz w:val="24"/>
          <w:szCs w:val="24"/>
          <w:lang w:eastAsia="bg-BG"/>
        </w:rPr>
        <w:t xml:space="preserve">от </w:t>
      </w:r>
      <w:r w:rsidRPr="00BD5BB8">
        <w:rPr>
          <w:rFonts w:ascii="Times New Roman" w:eastAsia="Arial" w:hAnsi="Times New Roman" w:cs="Times New Roman"/>
          <w:color w:val="000000"/>
          <w:sz w:val="24"/>
          <w:szCs w:val="24"/>
          <w:lang w:eastAsia="bg-BG"/>
        </w:rPr>
        <w:t>достъпна извънболничн</w:t>
      </w:r>
      <w:r w:rsidRPr="00BD5BB8">
        <w:rPr>
          <w:rFonts w:ascii="Times New Roman" w:eastAsia="Courier New" w:hAnsi="Times New Roman" w:cs="Times New Roman"/>
          <w:color w:val="000000"/>
          <w:sz w:val="24"/>
          <w:szCs w:val="24"/>
          <w:lang w:eastAsia="bg-BG"/>
        </w:rPr>
        <w:t xml:space="preserve">а и </w:t>
      </w:r>
      <w:r w:rsidRPr="00BD5BB8">
        <w:rPr>
          <w:rFonts w:ascii="Times New Roman" w:eastAsia="Arial" w:hAnsi="Times New Roman" w:cs="Times New Roman"/>
          <w:color w:val="000000"/>
          <w:sz w:val="24"/>
          <w:szCs w:val="24"/>
          <w:lang w:eastAsia="bg-BG"/>
        </w:rPr>
        <w:t>болнична медицинск</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помощ, създаван</w:t>
      </w:r>
      <w:r w:rsidRPr="00BD5BB8">
        <w:rPr>
          <w:rFonts w:ascii="Times New Roman" w:eastAsia="Courier New" w:hAnsi="Times New Roman" w:cs="Times New Roman"/>
          <w:color w:val="000000"/>
          <w:sz w:val="24"/>
          <w:szCs w:val="24"/>
          <w:lang w:eastAsia="bg-BG"/>
        </w:rPr>
        <w:t xml:space="preserve">е на </w:t>
      </w:r>
      <w:r w:rsidRPr="00BD5BB8">
        <w:rPr>
          <w:rFonts w:ascii="Times New Roman" w:eastAsia="Arial" w:hAnsi="Times New Roman" w:cs="Times New Roman"/>
          <w:color w:val="000000"/>
          <w:sz w:val="24"/>
          <w:szCs w:val="24"/>
          <w:lang w:eastAsia="bg-BG"/>
        </w:rPr>
        <w:t>стимули за преструктуриране на легл</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за активно лечение </w:t>
      </w:r>
      <w:r w:rsidRPr="00BD5BB8">
        <w:rPr>
          <w:rFonts w:ascii="Times New Roman" w:eastAsia="Times New Roman" w:hAnsi="Times New Roman" w:cs="Times New Roman"/>
          <w:color w:val="000000"/>
          <w:sz w:val="24"/>
          <w:szCs w:val="24"/>
          <w:lang w:eastAsia="bg-BG"/>
        </w:rPr>
        <w:t>в л</w:t>
      </w:r>
      <w:r w:rsidRPr="00BD5BB8">
        <w:rPr>
          <w:rFonts w:ascii="Times New Roman" w:eastAsia="Arial" w:hAnsi="Times New Roman" w:cs="Times New Roman"/>
          <w:color w:val="000000"/>
          <w:sz w:val="24"/>
          <w:szCs w:val="24"/>
          <w:lang w:eastAsia="bg-BG"/>
        </w:rPr>
        <w:t>ег</w:t>
      </w:r>
      <w:r w:rsidRPr="00BD5BB8">
        <w:rPr>
          <w:rFonts w:ascii="Times New Roman" w:eastAsia="Times New Roman" w:hAnsi="Times New Roman" w:cs="Times New Roman"/>
          <w:color w:val="000000"/>
          <w:sz w:val="24"/>
          <w:szCs w:val="24"/>
          <w:lang w:eastAsia="bg-BG"/>
        </w:rPr>
        <w:t xml:space="preserve">ла </w:t>
      </w:r>
      <w:r w:rsidRPr="00BD5BB8">
        <w:rPr>
          <w:rFonts w:ascii="Times New Roman" w:eastAsia="Courier New" w:hAnsi="Times New Roman" w:cs="Times New Roman"/>
          <w:color w:val="000000"/>
          <w:sz w:val="24"/>
          <w:szCs w:val="24"/>
          <w:lang w:eastAsia="bg-BG"/>
        </w:rPr>
        <w:t xml:space="preserve">за </w:t>
      </w:r>
      <w:r w:rsidRPr="00BD5BB8">
        <w:rPr>
          <w:rFonts w:ascii="Times New Roman" w:eastAsia="Arial" w:hAnsi="Times New Roman" w:cs="Times New Roman"/>
          <w:color w:val="000000"/>
          <w:sz w:val="24"/>
          <w:szCs w:val="24"/>
          <w:lang w:eastAsia="bg-BG"/>
        </w:rPr>
        <w:t xml:space="preserve">дългосрочни грижи, актуализиране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Times New Roman" w:hAnsi="Times New Roman" w:cs="Times New Roman"/>
          <w:color w:val="000000"/>
          <w:sz w:val="24"/>
          <w:szCs w:val="24"/>
          <w:lang w:eastAsia="bg-BG"/>
        </w:rPr>
        <w:t>м</w:t>
      </w:r>
      <w:r w:rsidRPr="00BD5BB8">
        <w:rPr>
          <w:rFonts w:ascii="Times New Roman" w:eastAsia="Arial" w:hAnsi="Times New Roman" w:cs="Times New Roman"/>
          <w:color w:val="000000"/>
          <w:sz w:val="24"/>
          <w:szCs w:val="24"/>
          <w:lang w:eastAsia="bg-BG"/>
        </w:rPr>
        <w:t>едицинскит</w:t>
      </w:r>
      <w:r w:rsidRPr="00BD5BB8">
        <w:rPr>
          <w:rFonts w:ascii="Times New Roman" w:eastAsia="Courier New"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 xml:space="preserve">стандарти, създаване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услов</w:t>
      </w:r>
      <w:r w:rsidRPr="00BD5BB8">
        <w:rPr>
          <w:rFonts w:ascii="Times New Roman" w:eastAsia="Times New Roman" w:hAnsi="Times New Roman" w:cs="Times New Roman"/>
          <w:color w:val="000000"/>
          <w:sz w:val="24"/>
          <w:szCs w:val="24"/>
          <w:lang w:eastAsia="bg-BG"/>
        </w:rPr>
        <w:t xml:space="preserve">ия за </w:t>
      </w:r>
      <w:r w:rsidRPr="00BD5BB8">
        <w:rPr>
          <w:rFonts w:ascii="Times New Roman" w:eastAsia="Arial" w:hAnsi="Times New Roman" w:cs="Times New Roman"/>
          <w:color w:val="000000"/>
          <w:sz w:val="24"/>
          <w:szCs w:val="24"/>
          <w:lang w:eastAsia="bg-BG"/>
        </w:rPr>
        <w:t>развит</w:t>
      </w:r>
      <w:r w:rsidRPr="00BD5BB8">
        <w:rPr>
          <w:rFonts w:ascii="Times New Roman" w:eastAsia="Times New Roman" w:hAnsi="Times New Roman" w:cs="Times New Roman"/>
          <w:color w:val="000000"/>
          <w:sz w:val="24"/>
          <w:szCs w:val="24"/>
          <w:lang w:eastAsia="bg-BG"/>
        </w:rPr>
        <w:t>и</w:t>
      </w:r>
      <w:r w:rsidRPr="00BD5BB8">
        <w:rPr>
          <w:rFonts w:ascii="Times New Roman" w:eastAsia="Courier New"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lastRenderedPageBreak/>
        <w:t>интегрирани здравно-социални услуги, усъвършенстване на системите на медицинската експертиза и експертизата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работоспособността, устойчиво развитие на човешките ресурси и повишаване на мотивацията за работа в системата.</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През 2017 г. се създаде нова правна регламента</w:t>
      </w:r>
      <w:r w:rsidRPr="00BD5BB8">
        <w:rPr>
          <w:rFonts w:ascii="Times New Roman" w:eastAsia="Times New Roman" w:hAnsi="Times New Roman" w:cs="Times New Roman"/>
          <w:color w:val="000000"/>
          <w:sz w:val="24"/>
          <w:szCs w:val="24"/>
          <w:lang w:eastAsia="bg-BG"/>
        </w:rPr>
        <w:t>ция н</w:t>
      </w:r>
      <w:r w:rsidRPr="00BD5BB8">
        <w:rPr>
          <w:rFonts w:ascii="Times New Roman" w:eastAsia="Arial" w:hAnsi="Times New Roman" w:cs="Times New Roman"/>
          <w:color w:val="000000"/>
          <w:sz w:val="24"/>
          <w:szCs w:val="24"/>
          <w:lang w:eastAsia="bg-BG"/>
        </w:rPr>
        <w:t>а пр</w:t>
      </w:r>
      <w:r w:rsidRPr="00BD5BB8">
        <w:rPr>
          <w:rFonts w:ascii="Times New Roman" w:eastAsia="Times New Roman" w:hAnsi="Times New Roman" w:cs="Times New Roman"/>
          <w:color w:val="000000"/>
          <w:sz w:val="24"/>
          <w:szCs w:val="24"/>
          <w:lang w:eastAsia="bg-BG"/>
        </w:rPr>
        <w:t>ин</w:t>
      </w:r>
      <w:r w:rsidRPr="00BD5BB8">
        <w:rPr>
          <w:rFonts w:ascii="Times New Roman" w:eastAsia="Arial" w:hAnsi="Times New Roman" w:cs="Times New Roman"/>
          <w:color w:val="000000"/>
          <w:sz w:val="24"/>
          <w:szCs w:val="24"/>
          <w:lang w:eastAsia="bg-BG"/>
        </w:rPr>
        <w:t>ципите и критериите на меди</w:t>
      </w:r>
      <w:r w:rsidRPr="00BD5BB8">
        <w:rPr>
          <w:rFonts w:ascii="Times New Roman" w:eastAsia="Times New Roman" w:hAnsi="Times New Roman" w:cs="Times New Roman"/>
          <w:color w:val="000000"/>
          <w:sz w:val="24"/>
          <w:szCs w:val="24"/>
          <w:lang w:eastAsia="bg-BG"/>
        </w:rPr>
        <w:t>цинс</w:t>
      </w:r>
      <w:r w:rsidRPr="00BD5BB8">
        <w:rPr>
          <w:rFonts w:ascii="Times New Roman" w:eastAsia="Arial" w:hAnsi="Times New Roman" w:cs="Times New Roman"/>
          <w:color w:val="000000"/>
          <w:sz w:val="24"/>
          <w:szCs w:val="24"/>
          <w:lang w:eastAsia="bg-BG"/>
        </w:rPr>
        <w:t>ката експертиза и редът за ней</w:t>
      </w:r>
      <w:r w:rsidRPr="00BD5BB8">
        <w:rPr>
          <w:rFonts w:ascii="Times New Roman" w:eastAsia="Times New Roman" w:hAnsi="Times New Roman" w:cs="Times New Roman"/>
          <w:color w:val="000000"/>
          <w:sz w:val="24"/>
          <w:szCs w:val="24"/>
          <w:lang w:eastAsia="bg-BG"/>
        </w:rPr>
        <w:t>но</w:t>
      </w:r>
      <w:r w:rsidRPr="00BD5BB8">
        <w:rPr>
          <w:rFonts w:ascii="Times New Roman" w:eastAsia="Arial" w:hAnsi="Times New Roman" w:cs="Times New Roman"/>
          <w:color w:val="000000"/>
          <w:sz w:val="24"/>
          <w:szCs w:val="24"/>
          <w:lang w:eastAsia="bg-BG"/>
        </w:rPr>
        <w:t>то извър</w:t>
      </w:r>
      <w:r w:rsidRPr="00BD5BB8">
        <w:rPr>
          <w:rFonts w:ascii="Times New Roman" w:eastAsia="Times New Roman" w:hAnsi="Times New Roman" w:cs="Times New Roman"/>
          <w:color w:val="000000"/>
          <w:sz w:val="24"/>
          <w:szCs w:val="24"/>
          <w:lang w:eastAsia="bg-BG"/>
        </w:rPr>
        <w:t>ш</w:t>
      </w:r>
      <w:r w:rsidRPr="00BD5BB8">
        <w:rPr>
          <w:rFonts w:ascii="Times New Roman" w:eastAsia="Arial" w:hAnsi="Times New Roman" w:cs="Times New Roman"/>
          <w:color w:val="000000"/>
          <w:sz w:val="24"/>
          <w:szCs w:val="24"/>
          <w:lang w:eastAsia="bg-BG"/>
        </w:rPr>
        <w:t>ване. Изготвена и об</w:t>
      </w:r>
      <w:r w:rsidRPr="00BD5BB8">
        <w:rPr>
          <w:rFonts w:ascii="Times New Roman" w:eastAsia="Times New Roman" w:hAnsi="Times New Roman" w:cs="Times New Roman"/>
          <w:color w:val="000000"/>
          <w:sz w:val="24"/>
          <w:szCs w:val="24"/>
          <w:lang w:eastAsia="bg-BG"/>
        </w:rPr>
        <w:t>на</w:t>
      </w:r>
      <w:r w:rsidRPr="00BD5BB8">
        <w:rPr>
          <w:rFonts w:ascii="Times New Roman" w:eastAsia="Arial" w:hAnsi="Times New Roman" w:cs="Times New Roman"/>
          <w:color w:val="000000"/>
          <w:sz w:val="24"/>
          <w:szCs w:val="24"/>
          <w:lang w:eastAsia="bg-BG"/>
        </w:rPr>
        <w:t>родвана бе нова Наредба за медицинската експертиза, приета с ПМС №120 от 23.06.2017 г. С наредбата се осигурява утвърждава</w:t>
      </w:r>
      <w:r w:rsidRPr="00BD5BB8">
        <w:rPr>
          <w:rFonts w:ascii="Times New Roman" w:eastAsia="Times New Roman" w:hAnsi="Times New Roman" w:cs="Times New Roman"/>
          <w:color w:val="000000"/>
          <w:sz w:val="24"/>
          <w:szCs w:val="24"/>
          <w:lang w:eastAsia="bg-BG"/>
        </w:rPr>
        <w:t>не на п</w:t>
      </w:r>
      <w:r w:rsidRPr="00BD5BB8">
        <w:rPr>
          <w:rFonts w:ascii="Times New Roman" w:eastAsia="Arial" w:hAnsi="Times New Roman" w:cs="Times New Roman"/>
          <w:color w:val="000000"/>
          <w:sz w:val="24"/>
          <w:szCs w:val="24"/>
          <w:lang w:eastAsia="bg-BG"/>
        </w:rPr>
        <w:t>р</w:t>
      </w:r>
      <w:r w:rsidRPr="00BD5BB8">
        <w:rPr>
          <w:rFonts w:ascii="Times New Roman" w:eastAsia="Times New Roman" w:hAnsi="Times New Roman" w:cs="Times New Roman"/>
          <w:color w:val="000000"/>
          <w:sz w:val="24"/>
          <w:szCs w:val="24"/>
          <w:lang w:eastAsia="bg-BG"/>
        </w:rPr>
        <w:t>инципи, п</w:t>
      </w:r>
      <w:r w:rsidRPr="00BD5BB8">
        <w:rPr>
          <w:rFonts w:ascii="Times New Roman" w:eastAsia="Arial" w:hAnsi="Times New Roman" w:cs="Times New Roman"/>
          <w:color w:val="000000"/>
          <w:sz w:val="24"/>
          <w:szCs w:val="24"/>
          <w:lang w:eastAsia="bg-BG"/>
        </w:rPr>
        <w:t>р</w:t>
      </w:r>
      <w:r w:rsidRPr="00BD5BB8">
        <w:rPr>
          <w:rFonts w:ascii="Times New Roman" w:eastAsia="Times New Roman" w:hAnsi="Times New Roman" w:cs="Times New Roman"/>
          <w:color w:val="000000"/>
          <w:sz w:val="24"/>
          <w:szCs w:val="24"/>
          <w:lang w:eastAsia="bg-BG"/>
        </w:rPr>
        <w:t>ав</w:t>
      </w:r>
      <w:r w:rsidRPr="00BD5BB8">
        <w:rPr>
          <w:rFonts w:ascii="Times New Roman" w:eastAsia="Arial" w:hAnsi="Times New Roman" w:cs="Times New Roman"/>
          <w:color w:val="000000"/>
          <w:sz w:val="24"/>
          <w:szCs w:val="24"/>
          <w:lang w:eastAsia="bg-BG"/>
        </w:rPr>
        <w:t>ила, организац</w:t>
      </w:r>
      <w:r w:rsidRPr="00BD5BB8">
        <w:rPr>
          <w:rFonts w:ascii="Times New Roman" w:eastAsia="Times New Roman" w:hAnsi="Times New Roman" w:cs="Times New Roman"/>
          <w:color w:val="000000"/>
          <w:sz w:val="24"/>
          <w:szCs w:val="24"/>
          <w:lang w:eastAsia="bg-BG"/>
        </w:rPr>
        <w:t xml:space="preserve">ия и </w:t>
      </w:r>
      <w:r w:rsidRPr="00BD5BB8">
        <w:rPr>
          <w:rFonts w:ascii="Times New Roman" w:eastAsia="Arial" w:hAnsi="Times New Roman" w:cs="Times New Roman"/>
          <w:color w:val="000000"/>
          <w:sz w:val="24"/>
          <w:szCs w:val="24"/>
          <w:lang w:eastAsia="bg-BG"/>
        </w:rPr>
        <w:t>уеднаквяване на територията на цялата страна на дейностите, свързани с медицинската експертиза. През 2018 г. се изменени и допълни Правилник</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за устройството и организацията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работа на органите на медицинската експертиза и на регионалните картотеки на медицинските експертизи.</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През 2018 г. се прие нова Националната здравна карта, която е инструмент за планиране на медицин</w:t>
      </w:r>
      <w:r w:rsidRPr="00BD5BB8">
        <w:rPr>
          <w:rFonts w:ascii="Times New Roman" w:eastAsia="Times New Roman" w:hAnsi="Times New Roman" w:cs="Times New Roman"/>
          <w:color w:val="000000"/>
          <w:sz w:val="24"/>
          <w:szCs w:val="24"/>
          <w:lang w:eastAsia="bg-BG"/>
        </w:rPr>
        <w:t>ски дей</w:t>
      </w:r>
      <w:r w:rsidRPr="00BD5BB8">
        <w:rPr>
          <w:rFonts w:ascii="Times New Roman" w:eastAsia="Arial" w:hAnsi="Times New Roman" w:cs="Times New Roman"/>
          <w:color w:val="000000"/>
          <w:sz w:val="24"/>
          <w:szCs w:val="24"/>
          <w:lang w:eastAsia="bg-BG"/>
        </w:rPr>
        <w:t xml:space="preserve">ности, респективно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финансовите ресурси за т</w:t>
      </w:r>
      <w:r w:rsidRPr="00BD5BB8">
        <w:rPr>
          <w:rFonts w:ascii="Times New Roman" w:eastAsia="Courier New" w:hAnsi="Times New Roman" w:cs="Times New Roman"/>
          <w:color w:val="000000"/>
          <w:sz w:val="24"/>
          <w:szCs w:val="24"/>
          <w:lang w:eastAsia="bg-BG"/>
        </w:rPr>
        <w:t>ях</w:t>
      </w:r>
      <w:r w:rsidRPr="00BD5BB8">
        <w:rPr>
          <w:rFonts w:ascii="Times New Roman" w:eastAsia="Arial" w:hAnsi="Times New Roman" w:cs="Times New Roman"/>
          <w:color w:val="000000"/>
          <w:sz w:val="24"/>
          <w:szCs w:val="24"/>
          <w:lang w:eastAsia="bg-BG"/>
        </w:rPr>
        <w:t>, възоснова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реалните потребности н</w:t>
      </w:r>
      <w:r w:rsidRPr="00BD5BB8">
        <w:rPr>
          <w:rFonts w:ascii="Times New Roman" w:eastAsia="Times New Roman" w:hAnsi="Times New Roman" w:cs="Times New Roman"/>
          <w:color w:val="000000"/>
          <w:sz w:val="24"/>
          <w:szCs w:val="24"/>
          <w:lang w:eastAsia="bg-BG"/>
        </w:rPr>
        <w:t>а н</w:t>
      </w:r>
      <w:r w:rsidRPr="00BD5BB8">
        <w:rPr>
          <w:rFonts w:ascii="Times New Roman" w:eastAsia="Arial" w:hAnsi="Times New Roman" w:cs="Times New Roman"/>
          <w:color w:val="000000"/>
          <w:sz w:val="24"/>
          <w:szCs w:val="24"/>
          <w:lang w:eastAsia="bg-BG"/>
        </w:rPr>
        <w:t>аселението, поради което, чрез нея се създават услови</w:t>
      </w:r>
      <w:r w:rsidRPr="00BD5BB8">
        <w:rPr>
          <w:rFonts w:ascii="Times New Roman" w:eastAsia="Courier New" w:hAnsi="Times New Roman" w:cs="Times New Roman"/>
          <w:color w:val="000000"/>
          <w:sz w:val="24"/>
          <w:szCs w:val="24"/>
          <w:lang w:eastAsia="bg-BG"/>
        </w:rPr>
        <w:t xml:space="preserve">я за </w:t>
      </w:r>
      <w:r w:rsidRPr="00BD5BB8">
        <w:rPr>
          <w:rFonts w:ascii="Times New Roman" w:eastAsia="Arial" w:hAnsi="Times New Roman" w:cs="Times New Roman"/>
          <w:color w:val="000000"/>
          <w:sz w:val="24"/>
          <w:szCs w:val="24"/>
          <w:lang w:eastAsia="bg-BG"/>
        </w:rPr>
        <w:t>устойчиво и дългосрочно балансиран</w:t>
      </w:r>
      <w:r w:rsidRPr="00BD5BB8">
        <w:rPr>
          <w:rFonts w:ascii="Times New Roman" w:eastAsia="Times New Roman" w:hAnsi="Times New Roman" w:cs="Times New Roman"/>
          <w:color w:val="000000"/>
          <w:sz w:val="24"/>
          <w:szCs w:val="24"/>
          <w:lang w:eastAsia="bg-BG"/>
        </w:rPr>
        <w:t xml:space="preserve">е на </w:t>
      </w:r>
      <w:r w:rsidRPr="00BD5BB8">
        <w:rPr>
          <w:rFonts w:ascii="Times New Roman" w:eastAsia="Arial" w:hAnsi="Times New Roman" w:cs="Times New Roman"/>
          <w:color w:val="000000"/>
          <w:sz w:val="24"/>
          <w:szCs w:val="24"/>
          <w:lang w:eastAsia="bg-BG"/>
        </w:rPr>
        <w:t>разходните отговорности на НЗОК.</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Планираните в Наци</w:t>
      </w:r>
      <w:r w:rsidRPr="00BD5BB8">
        <w:rPr>
          <w:rFonts w:ascii="Times New Roman" w:eastAsia="Times New Roman" w:hAnsi="Times New Roman" w:cs="Times New Roman"/>
          <w:color w:val="000000"/>
          <w:sz w:val="24"/>
          <w:szCs w:val="24"/>
          <w:lang w:eastAsia="bg-BG"/>
        </w:rPr>
        <w:t>оналн</w:t>
      </w:r>
      <w:r w:rsidRPr="00BD5BB8">
        <w:rPr>
          <w:rFonts w:ascii="Times New Roman" w:eastAsia="Arial" w:hAnsi="Times New Roman" w:cs="Times New Roman"/>
          <w:color w:val="000000"/>
          <w:sz w:val="24"/>
          <w:szCs w:val="24"/>
          <w:lang w:eastAsia="bg-BG"/>
        </w:rPr>
        <w:t>ата здр</w:t>
      </w:r>
      <w:r w:rsidRPr="00BD5BB8">
        <w:rPr>
          <w:rFonts w:ascii="Times New Roman" w:eastAsia="Times New Roman" w:hAnsi="Times New Roman" w:cs="Times New Roman"/>
          <w:color w:val="000000"/>
          <w:sz w:val="24"/>
          <w:szCs w:val="24"/>
          <w:lang w:eastAsia="bg-BG"/>
        </w:rPr>
        <w:t xml:space="preserve">авна карта </w:t>
      </w:r>
      <w:r w:rsidRPr="00BD5BB8">
        <w:rPr>
          <w:rFonts w:ascii="Times New Roman" w:eastAsia="Arial" w:hAnsi="Times New Roman" w:cs="Times New Roman"/>
          <w:color w:val="000000"/>
          <w:sz w:val="24"/>
          <w:szCs w:val="24"/>
          <w:lang w:eastAsia="bg-BG"/>
        </w:rPr>
        <w:t>потребности от лекари, лекари по дентална меди</w:t>
      </w:r>
      <w:r w:rsidRPr="00BD5BB8">
        <w:rPr>
          <w:rFonts w:ascii="Times New Roman" w:eastAsia="Times New Roman" w:hAnsi="Times New Roman" w:cs="Times New Roman"/>
          <w:color w:val="000000"/>
          <w:sz w:val="24"/>
          <w:szCs w:val="24"/>
          <w:lang w:eastAsia="bg-BG"/>
        </w:rPr>
        <w:t>цин</w:t>
      </w:r>
      <w:r w:rsidRPr="00BD5BB8">
        <w:rPr>
          <w:rFonts w:ascii="Times New Roman" w:eastAsia="Arial" w:hAnsi="Times New Roman" w:cs="Times New Roman"/>
          <w:color w:val="000000"/>
          <w:sz w:val="24"/>
          <w:szCs w:val="24"/>
          <w:lang w:eastAsia="bg-BG"/>
        </w:rPr>
        <w:t xml:space="preserve">а и специалисти по здравни грижи са ориентирани към осигуряване </w:t>
      </w:r>
      <w:r w:rsidRPr="00BD5BB8">
        <w:rPr>
          <w:rFonts w:ascii="Times New Roman" w:eastAsia="Courier New"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а условия 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развит</w:t>
      </w:r>
      <w:r w:rsidRPr="00BD5BB8">
        <w:rPr>
          <w:rFonts w:ascii="Times New Roman" w:eastAsia="Courier New" w:hAnsi="Times New Roman" w:cs="Times New Roman"/>
          <w:color w:val="000000"/>
          <w:sz w:val="24"/>
          <w:szCs w:val="24"/>
          <w:lang w:eastAsia="bg-BG"/>
        </w:rPr>
        <w:t>и</w:t>
      </w:r>
      <w:r w:rsidRPr="00BD5BB8">
        <w:rPr>
          <w:rFonts w:ascii="Times New Roman" w:eastAsia="Arial" w:hAnsi="Times New Roman" w:cs="Times New Roman"/>
          <w:color w:val="000000"/>
          <w:sz w:val="24"/>
          <w:szCs w:val="24"/>
          <w:lang w:eastAsia="bg-BG"/>
        </w:rPr>
        <w:t>е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системата и разширява</w:t>
      </w:r>
      <w:r w:rsidRPr="00BD5BB8">
        <w:rPr>
          <w:rFonts w:ascii="Times New Roman" w:eastAsia="Times New Roman" w:hAnsi="Times New Roman" w:cs="Times New Roman"/>
          <w:color w:val="000000"/>
          <w:sz w:val="24"/>
          <w:szCs w:val="24"/>
          <w:lang w:eastAsia="bg-BG"/>
        </w:rPr>
        <w:t xml:space="preserve">не на </w:t>
      </w:r>
      <w:r w:rsidRPr="00BD5BB8">
        <w:rPr>
          <w:rFonts w:ascii="Times New Roman" w:eastAsia="Arial" w:hAnsi="Times New Roman" w:cs="Times New Roman"/>
          <w:color w:val="000000"/>
          <w:sz w:val="24"/>
          <w:szCs w:val="24"/>
          <w:lang w:eastAsia="bg-BG"/>
        </w:rPr>
        <w:t>обхвата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предоставяните медицински услуги. Приложеният подход е насочен к</w:t>
      </w:r>
      <w:r w:rsidRPr="00BD5BB8">
        <w:rPr>
          <w:rFonts w:ascii="Times New Roman" w:eastAsia="Times New Roman" w:hAnsi="Times New Roman" w:cs="Times New Roman"/>
          <w:color w:val="000000"/>
          <w:sz w:val="24"/>
          <w:szCs w:val="24"/>
          <w:lang w:eastAsia="bg-BG"/>
        </w:rPr>
        <w:t>ъ</w:t>
      </w:r>
      <w:r w:rsidRPr="00BD5BB8">
        <w:rPr>
          <w:rFonts w:ascii="Times New Roman" w:eastAsia="Courier New" w:hAnsi="Times New Roman" w:cs="Times New Roman"/>
          <w:color w:val="000000"/>
          <w:sz w:val="24"/>
          <w:szCs w:val="24"/>
          <w:lang w:eastAsia="bg-BG"/>
        </w:rPr>
        <w:t xml:space="preserve">м </w:t>
      </w:r>
      <w:r w:rsidRPr="00BD5BB8">
        <w:rPr>
          <w:rFonts w:ascii="Times New Roman" w:eastAsia="Arial" w:hAnsi="Times New Roman" w:cs="Times New Roman"/>
          <w:color w:val="000000"/>
          <w:sz w:val="24"/>
          <w:szCs w:val="24"/>
          <w:lang w:eastAsia="bg-BG"/>
        </w:rPr>
        <w:t>универсална осигуреност на населението с базови ме</w:t>
      </w:r>
      <w:r w:rsidRPr="00BD5BB8">
        <w:rPr>
          <w:rFonts w:ascii="Times New Roman" w:eastAsia="Times New Roman" w:hAnsi="Times New Roman" w:cs="Times New Roman"/>
          <w:color w:val="000000"/>
          <w:sz w:val="24"/>
          <w:szCs w:val="24"/>
          <w:lang w:eastAsia="bg-BG"/>
        </w:rPr>
        <w:t>ди</w:t>
      </w:r>
      <w:r w:rsidRPr="00BD5BB8">
        <w:rPr>
          <w:rFonts w:ascii="Times New Roman" w:eastAsia="Arial" w:hAnsi="Times New Roman" w:cs="Times New Roman"/>
          <w:color w:val="000000"/>
          <w:sz w:val="24"/>
          <w:szCs w:val="24"/>
          <w:lang w:eastAsia="bg-BG"/>
        </w:rPr>
        <w:t>цински услуги, предоставяни от об</w:t>
      </w:r>
      <w:r w:rsidRPr="00BD5BB8">
        <w:rPr>
          <w:rFonts w:ascii="Times New Roman" w:eastAsia="Times New Roman" w:hAnsi="Times New Roman" w:cs="Times New Roman"/>
          <w:color w:val="000000"/>
          <w:sz w:val="24"/>
          <w:szCs w:val="24"/>
          <w:lang w:eastAsia="bg-BG"/>
        </w:rPr>
        <w:t>щоп</w:t>
      </w:r>
      <w:r w:rsidRPr="00BD5BB8">
        <w:rPr>
          <w:rFonts w:ascii="Times New Roman" w:eastAsia="Arial" w:hAnsi="Times New Roman" w:cs="Times New Roman"/>
          <w:color w:val="000000"/>
          <w:sz w:val="24"/>
          <w:szCs w:val="24"/>
          <w:lang w:eastAsia="bg-BG"/>
        </w:rPr>
        <w:t>рактикуващи лекари и лекари по дентална медицина, при оптимална численост на населението, обслужвано от един лекар.</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С цел осигуряване на гарантиран достъп до необходимия обем профилактични преглед</w:t>
      </w:r>
      <w:r w:rsidRPr="00BD5BB8">
        <w:rPr>
          <w:rFonts w:ascii="Times New Roman" w:eastAsia="Times New Roman" w:hAnsi="Times New Roman" w:cs="Times New Roman"/>
          <w:color w:val="000000"/>
          <w:sz w:val="24"/>
          <w:szCs w:val="24"/>
          <w:lang w:eastAsia="bg-BG"/>
        </w:rPr>
        <w:t>и п</w:t>
      </w:r>
      <w:r w:rsidRPr="00BD5BB8">
        <w:rPr>
          <w:rFonts w:ascii="Times New Roman" w:eastAsia="Courier New" w:hAnsi="Times New Roman" w:cs="Times New Roman"/>
          <w:color w:val="000000"/>
          <w:sz w:val="24"/>
          <w:szCs w:val="24"/>
          <w:lang w:eastAsia="bg-BG"/>
        </w:rPr>
        <w:t xml:space="preserve">о </w:t>
      </w:r>
      <w:r w:rsidRPr="00BD5BB8">
        <w:rPr>
          <w:rFonts w:ascii="Times New Roman" w:eastAsia="Arial" w:hAnsi="Times New Roman" w:cs="Times New Roman"/>
          <w:color w:val="000000"/>
          <w:sz w:val="24"/>
          <w:szCs w:val="24"/>
          <w:lang w:eastAsia="bg-BG"/>
        </w:rPr>
        <w:t>възрастов</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 xml:space="preserve">групи, </w:t>
      </w:r>
      <w:r w:rsidRPr="00BD5BB8">
        <w:rPr>
          <w:rFonts w:ascii="Times New Roman" w:eastAsia="Times New Roman" w:hAnsi="Times New Roman" w:cs="Times New Roman"/>
          <w:color w:val="000000"/>
          <w:sz w:val="24"/>
          <w:szCs w:val="24"/>
          <w:lang w:eastAsia="bg-BG"/>
        </w:rPr>
        <w:t>ди</w:t>
      </w:r>
      <w:r w:rsidRPr="00BD5BB8">
        <w:rPr>
          <w:rFonts w:ascii="Times New Roman" w:eastAsia="Arial" w:hAnsi="Times New Roman" w:cs="Times New Roman"/>
          <w:color w:val="000000"/>
          <w:sz w:val="24"/>
          <w:szCs w:val="24"/>
          <w:lang w:eastAsia="bg-BG"/>
        </w:rPr>
        <w:t>спансерни прегле</w:t>
      </w:r>
      <w:r w:rsidRPr="00BD5BB8">
        <w:rPr>
          <w:rFonts w:ascii="Times New Roman" w:eastAsia="Times New Roman" w:hAnsi="Times New Roman" w:cs="Times New Roman"/>
          <w:color w:val="000000"/>
          <w:sz w:val="24"/>
          <w:szCs w:val="24"/>
          <w:lang w:eastAsia="bg-BG"/>
        </w:rPr>
        <w:t>ди, к</w:t>
      </w:r>
      <w:r w:rsidRPr="00BD5BB8">
        <w:rPr>
          <w:rFonts w:ascii="Times New Roman" w:eastAsia="Arial" w:hAnsi="Times New Roman" w:cs="Times New Roman"/>
          <w:color w:val="000000"/>
          <w:sz w:val="24"/>
          <w:szCs w:val="24"/>
          <w:lang w:eastAsia="bg-BG"/>
        </w:rPr>
        <w:t>ачествен</w:t>
      </w:r>
      <w:r w:rsidRPr="00BD5BB8">
        <w:rPr>
          <w:rFonts w:ascii="Times New Roman" w:eastAsia="Times New Roman" w:hAnsi="Times New Roman" w:cs="Times New Roman"/>
          <w:color w:val="000000"/>
          <w:sz w:val="24"/>
          <w:szCs w:val="24"/>
          <w:lang w:eastAsia="bg-BG"/>
        </w:rPr>
        <w:t xml:space="preserve">и и </w:t>
      </w:r>
      <w:r w:rsidRPr="00BD5BB8">
        <w:rPr>
          <w:rFonts w:ascii="Times New Roman" w:eastAsia="Arial" w:hAnsi="Times New Roman" w:cs="Times New Roman"/>
          <w:color w:val="000000"/>
          <w:sz w:val="24"/>
          <w:szCs w:val="24"/>
          <w:lang w:eastAsia="bg-BG"/>
        </w:rPr>
        <w:t>навременни здравни услуги при максимално ефективно използване на ресурсите в системата през периода 2017-2018 г. се актуализира нормативната уредба, свързана с дейностт</w:t>
      </w:r>
      <w:r w:rsidRPr="00BD5BB8">
        <w:rPr>
          <w:rFonts w:ascii="Times New Roman" w:eastAsia="Times New Roman" w:hAnsi="Times New Roman" w:cs="Times New Roman"/>
          <w:color w:val="000000"/>
          <w:sz w:val="24"/>
          <w:szCs w:val="24"/>
          <w:lang w:eastAsia="bg-BG"/>
        </w:rPr>
        <w:t>а н</w:t>
      </w:r>
      <w:r w:rsidRPr="00BD5BB8">
        <w:rPr>
          <w:rFonts w:ascii="Times New Roman" w:eastAsia="Arial" w:hAnsi="Times New Roman" w:cs="Times New Roman"/>
          <w:color w:val="000000"/>
          <w:sz w:val="24"/>
          <w:szCs w:val="24"/>
          <w:lang w:eastAsia="bg-BG"/>
        </w:rPr>
        <w:t xml:space="preserve">а НЗОК. От 1 юли 2017 г. стартира изпълнението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дейностите </w:t>
      </w:r>
      <w:r w:rsidRPr="00BD5BB8">
        <w:rPr>
          <w:rFonts w:ascii="Times New Roman" w:eastAsia="Courier New" w:hAnsi="Times New Roman" w:cs="Times New Roman"/>
          <w:color w:val="000000"/>
          <w:sz w:val="24"/>
          <w:szCs w:val="24"/>
          <w:lang w:eastAsia="bg-BG"/>
        </w:rPr>
        <w:t>п</w:t>
      </w:r>
      <w:r w:rsidRPr="00BD5BB8">
        <w:rPr>
          <w:rFonts w:ascii="Times New Roman" w:eastAsia="Times New Roman" w:hAnsi="Times New Roman" w:cs="Times New Roman"/>
          <w:color w:val="000000"/>
          <w:sz w:val="24"/>
          <w:szCs w:val="24"/>
          <w:lang w:eastAsia="bg-BG"/>
        </w:rPr>
        <w:t>о в</w:t>
      </w:r>
      <w:r w:rsidRPr="00BD5BB8">
        <w:rPr>
          <w:rFonts w:ascii="Times New Roman" w:eastAsia="Arial" w:hAnsi="Times New Roman" w:cs="Times New Roman"/>
          <w:color w:val="000000"/>
          <w:sz w:val="24"/>
          <w:szCs w:val="24"/>
          <w:lang w:eastAsia="bg-BG"/>
        </w:rPr>
        <w:t>ъзстановяване функ</w:t>
      </w:r>
      <w:r w:rsidRPr="00BD5BB8">
        <w:rPr>
          <w:rFonts w:ascii="Times New Roman" w:eastAsia="Times New Roman" w:hAnsi="Times New Roman" w:cs="Times New Roman"/>
          <w:color w:val="000000"/>
          <w:sz w:val="24"/>
          <w:szCs w:val="24"/>
          <w:lang w:eastAsia="bg-BG"/>
        </w:rPr>
        <w:t>ци</w:t>
      </w:r>
      <w:r w:rsidRPr="00BD5BB8">
        <w:rPr>
          <w:rFonts w:ascii="Times New Roman" w:eastAsia="Arial" w:hAnsi="Times New Roman" w:cs="Times New Roman"/>
          <w:color w:val="000000"/>
          <w:sz w:val="24"/>
          <w:szCs w:val="24"/>
          <w:lang w:eastAsia="bg-BG"/>
        </w:rPr>
        <w:t>ята на дъвкателния апарат при възрастни над 65 години с поетапно включване на пациентите, като за пациентите на възраст над 75 годин</w:t>
      </w:r>
      <w:r w:rsidRPr="00BD5BB8">
        <w:rPr>
          <w:rFonts w:ascii="Times New Roman" w:eastAsia="Times New Roman" w:hAnsi="Times New Roman" w:cs="Times New Roman"/>
          <w:color w:val="000000"/>
          <w:sz w:val="24"/>
          <w:szCs w:val="24"/>
          <w:lang w:eastAsia="bg-BG"/>
        </w:rPr>
        <w:t>и, кои</w:t>
      </w:r>
      <w:r w:rsidRPr="00BD5BB8">
        <w:rPr>
          <w:rFonts w:ascii="Times New Roman" w:eastAsia="Arial" w:hAnsi="Times New Roman" w:cs="Times New Roman"/>
          <w:color w:val="000000"/>
          <w:sz w:val="24"/>
          <w:szCs w:val="24"/>
          <w:lang w:eastAsia="bg-BG"/>
        </w:rPr>
        <w:t>то бяха въведени с Наредб</w:t>
      </w:r>
      <w:r w:rsidRPr="00BD5BB8">
        <w:rPr>
          <w:rFonts w:ascii="Times New Roman" w:eastAsia="Courier New" w:hAnsi="Times New Roman" w:cs="Times New Roman"/>
          <w:color w:val="000000"/>
          <w:sz w:val="24"/>
          <w:szCs w:val="24"/>
          <w:lang w:eastAsia="bg-BG"/>
        </w:rPr>
        <w:t>а №</w:t>
      </w:r>
      <w:r w:rsidRPr="00BD5BB8">
        <w:rPr>
          <w:rFonts w:ascii="Times New Roman" w:eastAsia="Arial" w:hAnsi="Times New Roman" w:cs="Times New Roman"/>
          <w:color w:val="000000"/>
          <w:sz w:val="24"/>
          <w:szCs w:val="24"/>
          <w:lang w:eastAsia="bg-BG"/>
        </w:rPr>
        <w:t xml:space="preserve">8 от 2016 г. за профилактичните прегледи </w:t>
      </w:r>
      <w:r w:rsidRPr="00BD5BB8">
        <w:rPr>
          <w:rFonts w:ascii="Times New Roman" w:eastAsia="Courier New" w:hAnsi="Times New Roman" w:cs="Times New Roman"/>
          <w:color w:val="000000"/>
          <w:sz w:val="24"/>
          <w:szCs w:val="24"/>
          <w:lang w:eastAsia="bg-BG"/>
        </w:rPr>
        <w:t>и д</w:t>
      </w:r>
      <w:r w:rsidRPr="00BD5BB8">
        <w:rPr>
          <w:rFonts w:ascii="Times New Roman" w:eastAsia="Arial" w:hAnsi="Times New Roman" w:cs="Times New Roman"/>
          <w:color w:val="000000"/>
          <w:sz w:val="24"/>
          <w:szCs w:val="24"/>
          <w:lang w:eastAsia="bg-BG"/>
        </w:rPr>
        <w:t>испансеризацията. Необходимите средства са осигурени. За останалите групи пациенти – на възраст от 70 до 74 години и от 65 до 69 години, дейностите се въведоха съответно от 1 януари 2018 г., и 1 юни 2018 г., целта бе д</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се осигури възможност средстват</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за тов</w:t>
      </w:r>
      <w:r w:rsidRPr="00BD5BB8">
        <w:rPr>
          <w:rFonts w:ascii="Times New Roman" w:eastAsia="Times New Roman" w:hAnsi="Times New Roman" w:cs="Times New Roman"/>
          <w:color w:val="000000"/>
          <w:sz w:val="24"/>
          <w:szCs w:val="24"/>
          <w:lang w:eastAsia="bg-BG"/>
        </w:rPr>
        <w:t xml:space="preserve">а да </w:t>
      </w:r>
      <w:r w:rsidRPr="00BD5BB8">
        <w:rPr>
          <w:rFonts w:ascii="Times New Roman" w:eastAsia="Arial" w:hAnsi="Times New Roman" w:cs="Times New Roman"/>
          <w:color w:val="000000"/>
          <w:sz w:val="24"/>
          <w:szCs w:val="24"/>
          <w:lang w:eastAsia="bg-BG"/>
        </w:rPr>
        <w:t>бъдат предвидени по бюджета на НЗОК за 2018г. при спазване на разпоредбата на чл. 19 от Закона за публичните финанси. През 2018 г. бе изменена Наредба №8 от 2016 г. за профилактичните прегледи и диспансеризацията. Поставения</w:t>
      </w:r>
      <w:r w:rsidRPr="00BD5BB8">
        <w:rPr>
          <w:rFonts w:ascii="Times New Roman" w:eastAsia="Courier New" w:hAnsi="Times New Roman" w:cs="Times New Roman"/>
          <w:color w:val="000000"/>
          <w:sz w:val="24"/>
          <w:szCs w:val="24"/>
          <w:lang w:eastAsia="bg-BG"/>
        </w:rPr>
        <w:t xml:space="preserve">т </w:t>
      </w:r>
      <w:r w:rsidRPr="00BD5BB8">
        <w:rPr>
          <w:rFonts w:ascii="Times New Roman" w:eastAsia="Arial" w:hAnsi="Times New Roman" w:cs="Times New Roman"/>
          <w:color w:val="000000"/>
          <w:sz w:val="24"/>
          <w:szCs w:val="24"/>
          <w:lang w:eastAsia="bg-BG"/>
        </w:rPr>
        <w:t xml:space="preserve">акцент </w:t>
      </w:r>
      <w:r w:rsidRPr="00BD5BB8">
        <w:rPr>
          <w:rFonts w:ascii="Times New Roman" w:eastAsia="Courier New" w:hAnsi="Times New Roman" w:cs="Times New Roman"/>
          <w:color w:val="000000"/>
          <w:sz w:val="24"/>
          <w:szCs w:val="24"/>
          <w:lang w:eastAsia="bg-BG"/>
        </w:rPr>
        <w:t>е въ</w:t>
      </w:r>
      <w:r w:rsidRPr="00BD5BB8">
        <w:rPr>
          <w:rFonts w:ascii="Times New Roman" w:eastAsia="Arial" w:hAnsi="Times New Roman" w:cs="Times New Roman"/>
          <w:color w:val="000000"/>
          <w:sz w:val="24"/>
          <w:szCs w:val="24"/>
          <w:lang w:eastAsia="bg-BG"/>
        </w:rPr>
        <w:t>рху разширяван</w:t>
      </w:r>
      <w:r w:rsidRPr="00BD5BB8">
        <w:rPr>
          <w:rFonts w:ascii="Times New Roman" w:eastAsia="Times New Roman" w:hAnsi="Times New Roman" w:cs="Times New Roman"/>
          <w:color w:val="000000"/>
          <w:sz w:val="24"/>
          <w:szCs w:val="24"/>
          <w:lang w:eastAsia="bg-BG"/>
        </w:rPr>
        <w:t>е на об</w:t>
      </w:r>
      <w:r w:rsidRPr="00BD5BB8">
        <w:rPr>
          <w:rFonts w:ascii="Times New Roman" w:eastAsia="Arial" w:hAnsi="Times New Roman" w:cs="Times New Roman"/>
          <w:color w:val="000000"/>
          <w:sz w:val="24"/>
          <w:szCs w:val="24"/>
          <w:lang w:eastAsia="bg-BG"/>
        </w:rPr>
        <w:t>хват</w:t>
      </w:r>
      <w:r w:rsidRPr="00BD5BB8">
        <w:rPr>
          <w:rFonts w:ascii="Times New Roman" w:eastAsia="Times New Roman" w:hAnsi="Times New Roman" w:cs="Times New Roman"/>
          <w:color w:val="000000"/>
          <w:sz w:val="24"/>
          <w:szCs w:val="24"/>
          <w:lang w:eastAsia="bg-BG"/>
        </w:rPr>
        <w:t>ът на лиц</w:t>
      </w:r>
      <w:r w:rsidRPr="00BD5BB8">
        <w:rPr>
          <w:rFonts w:ascii="Times New Roman" w:eastAsia="Arial" w:hAnsi="Times New Roman" w:cs="Times New Roman"/>
          <w:color w:val="000000"/>
          <w:sz w:val="24"/>
          <w:szCs w:val="24"/>
          <w:lang w:eastAsia="bg-BG"/>
        </w:rPr>
        <w:t>ата, подлежащ</w:t>
      </w:r>
      <w:r w:rsidRPr="00BD5BB8">
        <w:rPr>
          <w:rFonts w:ascii="Times New Roman" w:eastAsia="Times New Roman" w:hAnsi="Times New Roman" w:cs="Times New Roman"/>
          <w:color w:val="000000"/>
          <w:sz w:val="24"/>
          <w:szCs w:val="24"/>
          <w:lang w:eastAsia="bg-BG"/>
        </w:rPr>
        <w:t>и на п</w:t>
      </w:r>
      <w:r w:rsidRPr="00BD5BB8">
        <w:rPr>
          <w:rFonts w:ascii="Times New Roman" w:eastAsia="Arial" w:hAnsi="Times New Roman" w:cs="Times New Roman"/>
          <w:color w:val="000000"/>
          <w:sz w:val="24"/>
          <w:szCs w:val="24"/>
          <w:lang w:eastAsia="bg-BG"/>
        </w:rPr>
        <w:t xml:space="preserve">рофилактичен преглед от специалист по акушерство и гинекология с изследване с цитонамазка — обхващат се всички жени </w:t>
      </w:r>
      <w:r w:rsidRPr="00BD5BB8">
        <w:rPr>
          <w:rFonts w:ascii="Times New Roman" w:eastAsia="Times New Roman" w:hAnsi="Times New Roman" w:cs="Times New Roman"/>
          <w:color w:val="000000"/>
          <w:sz w:val="24"/>
          <w:szCs w:val="24"/>
          <w:lang w:eastAsia="bg-BG"/>
        </w:rPr>
        <w:t>на в</w:t>
      </w:r>
      <w:r w:rsidRPr="00BD5BB8">
        <w:rPr>
          <w:rFonts w:ascii="Times New Roman" w:eastAsia="Arial" w:hAnsi="Times New Roman" w:cs="Times New Roman"/>
          <w:color w:val="000000"/>
          <w:sz w:val="24"/>
          <w:szCs w:val="24"/>
          <w:lang w:eastAsia="bg-BG"/>
        </w:rPr>
        <w:t>ъзраст 30-40 години, а не само тези, които навършват 30 години в съответната календарна година. Включ</w:t>
      </w:r>
      <w:r w:rsidRPr="00BD5BB8">
        <w:rPr>
          <w:rFonts w:ascii="Times New Roman" w:eastAsia="Times New Roman" w:hAnsi="Times New Roman" w:cs="Times New Roman"/>
          <w:color w:val="000000"/>
          <w:sz w:val="24"/>
          <w:szCs w:val="24"/>
          <w:lang w:eastAsia="bg-BG"/>
        </w:rPr>
        <w:t>в</w:t>
      </w:r>
      <w:r w:rsidRPr="00BD5BB8">
        <w:rPr>
          <w:rFonts w:ascii="Times New Roman" w:eastAsia="Arial" w:hAnsi="Times New Roman" w:cs="Times New Roman"/>
          <w:color w:val="000000"/>
          <w:sz w:val="24"/>
          <w:szCs w:val="24"/>
          <w:lang w:eastAsia="bg-BG"/>
        </w:rPr>
        <w:t xml:space="preserve">а се </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възможност за диспансеризаци</w:t>
      </w:r>
      <w:r w:rsidRPr="00BD5BB8">
        <w:rPr>
          <w:rFonts w:ascii="Times New Roman" w:eastAsia="Courier New" w:hAnsi="Times New Roman" w:cs="Times New Roman"/>
          <w:color w:val="000000"/>
          <w:sz w:val="24"/>
          <w:szCs w:val="24"/>
          <w:lang w:eastAsia="bg-BG"/>
        </w:rPr>
        <w:t xml:space="preserve">я на </w:t>
      </w:r>
      <w:r w:rsidRPr="00BD5BB8">
        <w:rPr>
          <w:rFonts w:ascii="Times New Roman" w:eastAsia="Arial" w:hAnsi="Times New Roman" w:cs="Times New Roman"/>
          <w:color w:val="000000"/>
          <w:sz w:val="24"/>
          <w:szCs w:val="24"/>
          <w:lang w:eastAsia="bg-BG"/>
        </w:rPr>
        <w:t>пациенти със Синдром на Търнър над 18 год</w:t>
      </w:r>
      <w:r w:rsidRPr="00BD5BB8">
        <w:rPr>
          <w:rFonts w:ascii="Times New Roman" w:eastAsia="Times New Roman" w:hAnsi="Times New Roman" w:cs="Times New Roman"/>
          <w:color w:val="000000"/>
          <w:sz w:val="24"/>
          <w:szCs w:val="24"/>
          <w:lang w:eastAsia="bg-BG"/>
        </w:rPr>
        <w:t>ини</w:t>
      </w:r>
      <w:r w:rsidRPr="00BD5BB8">
        <w:rPr>
          <w:rFonts w:ascii="Times New Roman" w:eastAsia="Arial" w:hAnsi="Times New Roman" w:cs="Times New Roman"/>
          <w:color w:val="000000"/>
          <w:sz w:val="24"/>
          <w:szCs w:val="24"/>
          <w:lang w:eastAsia="bg-BG"/>
        </w:rPr>
        <w:t>, за които до момента възможността за проследяване е затруднена с</w:t>
      </w:r>
      <w:r w:rsidRPr="00BD5BB8">
        <w:rPr>
          <w:rFonts w:ascii="Times New Roman" w:eastAsia="Times New Roman" w:hAnsi="Times New Roman" w:cs="Times New Roman"/>
          <w:color w:val="000000"/>
          <w:sz w:val="24"/>
          <w:szCs w:val="24"/>
          <w:lang w:eastAsia="bg-BG"/>
        </w:rPr>
        <w:t>л</w:t>
      </w:r>
      <w:r w:rsidRPr="00BD5BB8">
        <w:rPr>
          <w:rFonts w:ascii="Times New Roman" w:eastAsia="Arial" w:hAnsi="Times New Roman" w:cs="Times New Roman"/>
          <w:color w:val="000000"/>
          <w:sz w:val="24"/>
          <w:szCs w:val="24"/>
          <w:lang w:eastAsia="bg-BG"/>
        </w:rPr>
        <w:t>ед навършване на пълнолетие. Въведената амбулаторна процедур</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Times New Roman" w:hAnsi="Times New Roman" w:cs="Times New Roman"/>
          <w:color w:val="000000"/>
          <w:sz w:val="24"/>
          <w:szCs w:val="24"/>
          <w:lang w:eastAsia="bg-BG"/>
        </w:rPr>
        <w:t>за на</w:t>
      </w:r>
      <w:r w:rsidRPr="00BD5BB8">
        <w:rPr>
          <w:rFonts w:ascii="Times New Roman" w:eastAsia="Arial" w:hAnsi="Times New Roman" w:cs="Times New Roman"/>
          <w:color w:val="000000"/>
          <w:sz w:val="24"/>
          <w:szCs w:val="24"/>
          <w:lang w:eastAsia="bg-BG"/>
        </w:rPr>
        <w:t xml:space="preserve">блюдение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пациенти с Болест на Бехтерев, осигури комплексно диспансерно наблюдение на тези пациенти.</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 xml:space="preserve">За </w:t>
      </w:r>
      <w:r w:rsidRPr="00BD5BB8">
        <w:rPr>
          <w:rFonts w:ascii="Times New Roman" w:eastAsia="Courier New" w:hAnsi="Times New Roman" w:cs="Times New Roman"/>
          <w:color w:val="000000"/>
          <w:sz w:val="24"/>
          <w:szCs w:val="24"/>
          <w:lang w:eastAsia="bg-BG"/>
        </w:rPr>
        <w:t xml:space="preserve">да се </w:t>
      </w:r>
      <w:r w:rsidRPr="00BD5BB8">
        <w:rPr>
          <w:rFonts w:ascii="Times New Roman" w:eastAsia="Arial" w:hAnsi="Times New Roman" w:cs="Times New Roman"/>
          <w:color w:val="000000"/>
          <w:sz w:val="24"/>
          <w:szCs w:val="24"/>
          <w:lang w:eastAsia="bg-BG"/>
        </w:rPr>
        <w:t xml:space="preserve">гарантира възможността </w:t>
      </w:r>
      <w:r w:rsidRPr="00BD5BB8">
        <w:rPr>
          <w:rFonts w:ascii="Times New Roman" w:eastAsia="Times New Roman" w:hAnsi="Times New Roman" w:cs="Times New Roman"/>
          <w:color w:val="000000"/>
          <w:sz w:val="24"/>
          <w:szCs w:val="24"/>
          <w:lang w:eastAsia="bg-BG"/>
        </w:rPr>
        <w:t>за ок</w:t>
      </w:r>
      <w:r w:rsidRPr="00BD5BB8">
        <w:rPr>
          <w:rFonts w:ascii="Times New Roman" w:eastAsia="Arial" w:hAnsi="Times New Roman" w:cs="Times New Roman"/>
          <w:color w:val="000000"/>
          <w:sz w:val="24"/>
          <w:szCs w:val="24"/>
          <w:lang w:eastAsia="bg-BG"/>
        </w:rPr>
        <w:t>азва</w:t>
      </w:r>
      <w:r w:rsidRPr="00BD5BB8">
        <w:rPr>
          <w:rFonts w:ascii="Times New Roman" w:eastAsia="Times New Roman" w:hAnsi="Times New Roman" w:cs="Times New Roman"/>
          <w:color w:val="000000"/>
          <w:sz w:val="24"/>
          <w:szCs w:val="24"/>
          <w:lang w:eastAsia="bg-BG"/>
        </w:rPr>
        <w:t xml:space="preserve">не </w:t>
      </w:r>
      <w:r w:rsidRPr="00BD5BB8">
        <w:rPr>
          <w:rFonts w:ascii="Times New Roman" w:eastAsia="Arial"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навременна, качествена и достъпн</w:t>
      </w:r>
      <w:r w:rsidRPr="00BD5BB8">
        <w:rPr>
          <w:rFonts w:ascii="Times New Roman" w:eastAsia="Times New Roman" w:hAnsi="Times New Roman" w:cs="Times New Roman"/>
          <w:color w:val="000000"/>
          <w:sz w:val="24"/>
          <w:szCs w:val="24"/>
          <w:lang w:eastAsia="bg-BG"/>
        </w:rPr>
        <w:t>а м</w:t>
      </w:r>
      <w:r w:rsidRPr="00BD5BB8">
        <w:rPr>
          <w:rFonts w:ascii="Times New Roman" w:eastAsia="Arial" w:hAnsi="Times New Roman" w:cs="Times New Roman"/>
          <w:color w:val="000000"/>
          <w:sz w:val="24"/>
          <w:szCs w:val="24"/>
          <w:lang w:eastAsia="bg-BG"/>
        </w:rPr>
        <w:t>едицинска помо</w:t>
      </w:r>
      <w:r w:rsidRPr="00BD5BB8">
        <w:rPr>
          <w:rFonts w:ascii="Times New Roman" w:eastAsia="Times New Roman" w:hAnsi="Times New Roman" w:cs="Times New Roman"/>
          <w:color w:val="000000"/>
          <w:sz w:val="24"/>
          <w:szCs w:val="24"/>
          <w:lang w:eastAsia="bg-BG"/>
        </w:rPr>
        <w:t>щ на па</w:t>
      </w:r>
      <w:r w:rsidRPr="00BD5BB8">
        <w:rPr>
          <w:rFonts w:ascii="Times New Roman" w:eastAsia="Arial" w:hAnsi="Times New Roman" w:cs="Times New Roman"/>
          <w:color w:val="000000"/>
          <w:sz w:val="24"/>
          <w:szCs w:val="24"/>
          <w:lang w:eastAsia="bg-BG"/>
        </w:rPr>
        <w:t>циентите и д</w:t>
      </w:r>
      <w:r w:rsidRPr="00BD5BB8">
        <w:rPr>
          <w:rFonts w:ascii="Times New Roman" w:eastAsia="Courier New" w:hAnsi="Times New Roman" w:cs="Times New Roman"/>
          <w:color w:val="000000"/>
          <w:sz w:val="24"/>
          <w:szCs w:val="24"/>
          <w:lang w:eastAsia="bg-BG"/>
        </w:rPr>
        <w:t>а с</w:t>
      </w:r>
      <w:r w:rsidRPr="00BD5BB8">
        <w:rPr>
          <w:rFonts w:ascii="Times New Roman" w:eastAsia="Arial" w:hAnsi="Times New Roman" w:cs="Times New Roman"/>
          <w:color w:val="000000"/>
          <w:sz w:val="24"/>
          <w:szCs w:val="24"/>
          <w:lang w:eastAsia="bg-BG"/>
        </w:rPr>
        <w:t>е осигури договор</w:t>
      </w:r>
      <w:r w:rsidRPr="00BD5BB8">
        <w:rPr>
          <w:rFonts w:ascii="Times New Roman" w:eastAsia="Times New Roman" w:hAnsi="Times New Roman" w:cs="Times New Roman"/>
          <w:color w:val="000000"/>
          <w:sz w:val="24"/>
          <w:szCs w:val="24"/>
          <w:lang w:eastAsia="bg-BG"/>
        </w:rPr>
        <w:t>ния п</w:t>
      </w:r>
      <w:r w:rsidRPr="00BD5BB8">
        <w:rPr>
          <w:rFonts w:ascii="Times New Roman" w:eastAsia="Arial" w:hAnsi="Times New Roman" w:cs="Times New Roman"/>
          <w:color w:val="000000"/>
          <w:sz w:val="24"/>
          <w:szCs w:val="24"/>
          <w:lang w:eastAsia="bg-BG"/>
        </w:rPr>
        <w:t xml:space="preserve">роцес на НЗОК с лечебните заведения беше издадена и Наредба №3 от 20 март 2018 г. за </w:t>
      </w:r>
      <w:r w:rsidRPr="00BD5BB8">
        <w:rPr>
          <w:rFonts w:ascii="Times New Roman" w:eastAsia="Arial" w:hAnsi="Times New Roman" w:cs="Times New Roman"/>
          <w:color w:val="000000"/>
          <w:sz w:val="24"/>
          <w:szCs w:val="24"/>
          <w:lang w:eastAsia="bg-BG"/>
        </w:rPr>
        <w:lastRenderedPageBreak/>
        <w:t>определяне на пакета от здравн</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дейности, гарантиран от бюджета на Националната здравноосигурителна каса.</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През 2018 г. се усъвършенств</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механизъм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ф</w:t>
      </w:r>
      <w:r w:rsidRPr="00BD5BB8">
        <w:rPr>
          <w:rFonts w:ascii="Times New Roman" w:eastAsia="Times New Roman" w:hAnsi="Times New Roman" w:cs="Times New Roman"/>
          <w:color w:val="000000"/>
          <w:sz w:val="24"/>
          <w:szCs w:val="24"/>
          <w:lang w:eastAsia="bg-BG"/>
        </w:rPr>
        <w:t>ин</w:t>
      </w:r>
      <w:r w:rsidRPr="00BD5BB8">
        <w:rPr>
          <w:rFonts w:ascii="Times New Roman" w:eastAsia="Arial" w:hAnsi="Times New Roman" w:cs="Times New Roman"/>
          <w:color w:val="000000"/>
          <w:sz w:val="24"/>
          <w:szCs w:val="24"/>
          <w:lang w:eastAsia="bg-BG"/>
        </w:rPr>
        <w:t>ансира</w:t>
      </w:r>
      <w:r w:rsidRPr="00BD5BB8">
        <w:rPr>
          <w:rFonts w:ascii="Times New Roman" w:eastAsia="Times New Roman" w:hAnsi="Times New Roman" w:cs="Times New Roman"/>
          <w:color w:val="000000"/>
          <w:sz w:val="24"/>
          <w:szCs w:val="24"/>
          <w:lang w:eastAsia="bg-BG"/>
        </w:rPr>
        <w:t>не на л</w:t>
      </w:r>
      <w:r w:rsidRPr="00BD5BB8">
        <w:rPr>
          <w:rFonts w:ascii="Times New Roman" w:eastAsia="Arial" w:hAnsi="Times New Roman" w:cs="Times New Roman"/>
          <w:color w:val="000000"/>
          <w:sz w:val="24"/>
          <w:szCs w:val="24"/>
          <w:lang w:eastAsia="bg-BG"/>
        </w:rPr>
        <w:t xml:space="preserve">ечението </w:t>
      </w:r>
      <w:r w:rsidRPr="00BD5BB8">
        <w:rPr>
          <w:rFonts w:ascii="Times New Roman" w:eastAsia="Times New Roman"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болните с психични заболявания в Центровете за психично здраве (ЦПЗ) и лечебните заведения за бол</w:t>
      </w:r>
      <w:r w:rsidRPr="00BD5BB8">
        <w:rPr>
          <w:rFonts w:ascii="Times New Roman" w:eastAsia="Times New Roman" w:hAnsi="Times New Roman" w:cs="Times New Roman"/>
          <w:color w:val="000000"/>
          <w:sz w:val="24"/>
          <w:szCs w:val="24"/>
          <w:lang w:eastAsia="bg-BG"/>
        </w:rPr>
        <w:t>нична п</w:t>
      </w:r>
      <w:r w:rsidRPr="00BD5BB8">
        <w:rPr>
          <w:rFonts w:ascii="Times New Roman" w:eastAsia="Arial" w:hAnsi="Times New Roman" w:cs="Times New Roman"/>
          <w:color w:val="000000"/>
          <w:sz w:val="24"/>
          <w:szCs w:val="24"/>
          <w:lang w:eastAsia="bg-BG"/>
        </w:rPr>
        <w:t>омощ (ЛЗБIII), като се разработи по нов начин Методика за субсидиране на лечебните заведения.</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За гарантира</w:t>
      </w:r>
      <w:r w:rsidRPr="00BD5BB8">
        <w:rPr>
          <w:rFonts w:ascii="Times New Roman" w:eastAsia="Courier New" w:hAnsi="Times New Roman" w:cs="Times New Roman"/>
          <w:color w:val="000000"/>
          <w:sz w:val="24"/>
          <w:szCs w:val="24"/>
          <w:lang w:eastAsia="bg-BG"/>
        </w:rPr>
        <w:t xml:space="preserve">не на </w:t>
      </w:r>
      <w:r w:rsidRPr="00BD5BB8">
        <w:rPr>
          <w:rFonts w:ascii="Times New Roman" w:eastAsia="Arial" w:hAnsi="Times New Roman" w:cs="Times New Roman"/>
          <w:color w:val="000000"/>
          <w:sz w:val="24"/>
          <w:szCs w:val="24"/>
          <w:lang w:eastAsia="bg-BG"/>
        </w:rPr>
        <w:t xml:space="preserve">базова </w:t>
      </w:r>
      <w:r w:rsidRPr="00BD5BB8">
        <w:rPr>
          <w:rFonts w:ascii="Times New Roman" w:eastAsia="Courier New" w:hAnsi="Times New Roman" w:cs="Times New Roman"/>
          <w:color w:val="000000"/>
          <w:sz w:val="24"/>
          <w:szCs w:val="24"/>
          <w:lang w:eastAsia="bg-BG"/>
        </w:rPr>
        <w:t>и ка</w:t>
      </w:r>
      <w:r w:rsidRPr="00BD5BB8">
        <w:rPr>
          <w:rFonts w:ascii="Times New Roman" w:eastAsia="Arial" w:hAnsi="Times New Roman" w:cs="Times New Roman"/>
          <w:color w:val="000000"/>
          <w:sz w:val="24"/>
          <w:szCs w:val="24"/>
          <w:lang w:eastAsia="bg-BG"/>
        </w:rPr>
        <w:t>честв</w:t>
      </w:r>
      <w:r w:rsidRPr="00BD5BB8">
        <w:rPr>
          <w:rFonts w:ascii="Times New Roman" w:eastAsia="Courier New" w:hAnsi="Times New Roman" w:cs="Times New Roman"/>
          <w:color w:val="000000"/>
          <w:sz w:val="24"/>
          <w:szCs w:val="24"/>
          <w:lang w:eastAsia="bg-BG"/>
        </w:rPr>
        <w:t xml:space="preserve">ена </w:t>
      </w:r>
      <w:r w:rsidRPr="00BD5BB8">
        <w:rPr>
          <w:rFonts w:ascii="Times New Roman" w:eastAsia="Arial" w:hAnsi="Times New Roman" w:cs="Times New Roman"/>
          <w:color w:val="000000"/>
          <w:sz w:val="24"/>
          <w:szCs w:val="24"/>
          <w:lang w:eastAsia="bg-BG"/>
        </w:rPr>
        <w:t>медицинска помощ в съответствие с потребностите на населението са разработен</w:t>
      </w:r>
      <w:r w:rsidRPr="00BD5BB8">
        <w:rPr>
          <w:rFonts w:ascii="Times New Roman" w:eastAsia="Times New Roman" w:hAnsi="Times New Roman" w:cs="Times New Roman"/>
          <w:color w:val="000000"/>
          <w:sz w:val="24"/>
          <w:szCs w:val="24"/>
          <w:lang w:eastAsia="bg-BG"/>
        </w:rPr>
        <w:t>и нови меди</w:t>
      </w:r>
      <w:r w:rsidRPr="00BD5BB8">
        <w:rPr>
          <w:rFonts w:ascii="Times New Roman" w:eastAsia="Arial" w:hAnsi="Times New Roman" w:cs="Times New Roman"/>
          <w:color w:val="000000"/>
          <w:sz w:val="24"/>
          <w:szCs w:val="24"/>
          <w:lang w:eastAsia="bg-BG"/>
        </w:rPr>
        <w:t>цински стандарт</w:t>
      </w:r>
      <w:r w:rsidRPr="00BD5BB8">
        <w:rPr>
          <w:rFonts w:ascii="Times New Roman" w:eastAsia="Times New Roman" w:hAnsi="Times New Roman" w:cs="Times New Roman"/>
          <w:color w:val="000000"/>
          <w:sz w:val="24"/>
          <w:szCs w:val="24"/>
          <w:lang w:eastAsia="bg-BG"/>
        </w:rPr>
        <w:t xml:space="preserve">и по </w:t>
      </w:r>
      <w:r w:rsidRPr="00BD5BB8">
        <w:rPr>
          <w:rFonts w:ascii="Times New Roman" w:eastAsia="Arial" w:hAnsi="Times New Roman" w:cs="Times New Roman"/>
          <w:color w:val="000000"/>
          <w:sz w:val="24"/>
          <w:szCs w:val="24"/>
          <w:lang w:eastAsia="bg-BG"/>
        </w:rPr>
        <w:t>водещи медицински специалности. През отчетния период бяха изготв</w:t>
      </w:r>
      <w:r w:rsidRPr="00BD5BB8">
        <w:rPr>
          <w:rFonts w:ascii="Times New Roman" w:eastAsia="Times New Roman" w:hAnsi="Times New Roman" w:cs="Times New Roman"/>
          <w:color w:val="000000"/>
          <w:sz w:val="24"/>
          <w:szCs w:val="24"/>
          <w:lang w:eastAsia="bg-BG"/>
        </w:rPr>
        <w:t>ени и обнар</w:t>
      </w:r>
      <w:r w:rsidRPr="00BD5BB8">
        <w:rPr>
          <w:rFonts w:ascii="Times New Roman" w:eastAsia="Arial" w:hAnsi="Times New Roman" w:cs="Times New Roman"/>
          <w:color w:val="000000"/>
          <w:sz w:val="24"/>
          <w:szCs w:val="24"/>
          <w:lang w:eastAsia="bg-BG"/>
        </w:rPr>
        <w:t>одвани реди</w:t>
      </w:r>
      <w:r w:rsidRPr="00BD5BB8">
        <w:rPr>
          <w:rFonts w:ascii="Times New Roman" w:eastAsia="Times New Roman" w:hAnsi="Times New Roman" w:cs="Times New Roman"/>
          <w:color w:val="000000"/>
          <w:sz w:val="24"/>
          <w:szCs w:val="24"/>
          <w:lang w:eastAsia="bg-BG"/>
        </w:rPr>
        <w:t xml:space="preserve">ца </w:t>
      </w:r>
      <w:r w:rsidRPr="00BD5BB8">
        <w:rPr>
          <w:rFonts w:ascii="Times New Roman" w:eastAsia="Arial" w:hAnsi="Times New Roman" w:cs="Times New Roman"/>
          <w:color w:val="000000"/>
          <w:sz w:val="24"/>
          <w:szCs w:val="24"/>
          <w:lang w:eastAsia="bg-BG"/>
        </w:rPr>
        <w:t>наредби за утвърждава</w:t>
      </w:r>
      <w:r w:rsidRPr="00BD5BB8">
        <w:rPr>
          <w:rFonts w:ascii="Times New Roman" w:eastAsia="Times New Roman"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е н</w:t>
      </w:r>
      <w:r w:rsidRPr="00BD5BB8">
        <w:rPr>
          <w:rFonts w:ascii="Times New Roman" w:eastAsia="Times New Roman" w:hAnsi="Times New Roman" w:cs="Times New Roman"/>
          <w:color w:val="000000"/>
          <w:sz w:val="24"/>
          <w:szCs w:val="24"/>
          <w:lang w:eastAsia="bg-BG"/>
        </w:rPr>
        <w:t>а м</w:t>
      </w:r>
      <w:r w:rsidRPr="00BD5BB8">
        <w:rPr>
          <w:rFonts w:ascii="Times New Roman" w:eastAsia="Arial" w:hAnsi="Times New Roman" w:cs="Times New Roman"/>
          <w:color w:val="000000"/>
          <w:sz w:val="24"/>
          <w:szCs w:val="24"/>
          <w:lang w:eastAsia="bg-BG"/>
        </w:rPr>
        <w:t>едиц</w:t>
      </w:r>
      <w:r w:rsidRPr="00BD5BB8">
        <w:rPr>
          <w:rFonts w:ascii="Times New Roman" w:eastAsia="Times New Roman" w:hAnsi="Times New Roman" w:cs="Times New Roman"/>
          <w:color w:val="000000"/>
          <w:sz w:val="24"/>
          <w:szCs w:val="24"/>
          <w:lang w:eastAsia="bg-BG"/>
        </w:rPr>
        <w:t>ин</w:t>
      </w:r>
      <w:r w:rsidRPr="00BD5BB8">
        <w:rPr>
          <w:rFonts w:ascii="Times New Roman" w:eastAsia="Arial" w:hAnsi="Times New Roman" w:cs="Times New Roman"/>
          <w:color w:val="000000"/>
          <w:sz w:val="24"/>
          <w:szCs w:val="24"/>
          <w:lang w:eastAsia="bg-BG"/>
        </w:rPr>
        <w:t xml:space="preserve">ски стандарти по Ортопедия и </w:t>
      </w:r>
      <w:r w:rsidRPr="00BD5BB8">
        <w:rPr>
          <w:rFonts w:ascii="Times New Roman" w:eastAsia="Times New Roman" w:hAnsi="Times New Roman" w:cs="Times New Roman"/>
          <w:color w:val="000000"/>
          <w:sz w:val="24"/>
          <w:szCs w:val="24"/>
          <w:lang w:eastAsia="bg-BG"/>
        </w:rPr>
        <w:t>тра</w:t>
      </w:r>
      <w:r w:rsidRPr="00BD5BB8">
        <w:rPr>
          <w:rFonts w:ascii="Times New Roman" w:eastAsia="Arial" w:hAnsi="Times New Roman" w:cs="Times New Roman"/>
          <w:color w:val="000000"/>
          <w:sz w:val="24"/>
          <w:szCs w:val="24"/>
          <w:lang w:eastAsia="bg-BG"/>
        </w:rPr>
        <w:t>вматология,  Спешна медицина, Ендокринология и болести на обмяната, Акушерство и гинекология, Медицинск</w:t>
      </w:r>
      <w:r w:rsidRPr="00BD5BB8">
        <w:rPr>
          <w:rFonts w:ascii="Times New Roman" w:eastAsia="Times New Roman" w:hAnsi="Times New Roman" w:cs="Times New Roman"/>
          <w:color w:val="000000"/>
          <w:sz w:val="24"/>
          <w:szCs w:val="24"/>
          <w:lang w:eastAsia="bg-BG"/>
        </w:rPr>
        <w:t>а онк</w:t>
      </w:r>
      <w:r w:rsidRPr="00BD5BB8">
        <w:rPr>
          <w:rFonts w:ascii="Times New Roman" w:eastAsia="Arial" w:hAnsi="Times New Roman" w:cs="Times New Roman"/>
          <w:color w:val="000000"/>
          <w:sz w:val="24"/>
          <w:szCs w:val="24"/>
          <w:lang w:eastAsia="bg-BG"/>
        </w:rPr>
        <w:t>ология, Гастроентерология</w:t>
      </w:r>
      <w:r w:rsidRPr="00BD5BB8">
        <w:rPr>
          <w:rFonts w:ascii="Times New Roman" w:eastAsia="Times New Roman" w:hAnsi="Times New Roman" w:cs="Times New Roman"/>
          <w:color w:val="000000"/>
          <w:sz w:val="24"/>
          <w:szCs w:val="24"/>
          <w:lang w:eastAsia="bg-BG"/>
        </w:rPr>
        <w:t>, чр</w:t>
      </w:r>
      <w:r w:rsidRPr="00BD5BB8">
        <w:rPr>
          <w:rFonts w:ascii="Times New Roman" w:eastAsia="Arial" w:hAnsi="Times New Roman" w:cs="Times New Roman"/>
          <w:color w:val="000000"/>
          <w:sz w:val="24"/>
          <w:szCs w:val="24"/>
          <w:lang w:eastAsia="bg-BG"/>
        </w:rPr>
        <w:t>ез ко</w:t>
      </w:r>
      <w:r w:rsidRPr="00BD5BB8">
        <w:rPr>
          <w:rFonts w:ascii="Times New Roman" w:eastAsia="Times New Roman" w:hAnsi="Times New Roman" w:cs="Times New Roman"/>
          <w:color w:val="000000"/>
          <w:sz w:val="24"/>
          <w:szCs w:val="24"/>
          <w:lang w:eastAsia="bg-BG"/>
        </w:rPr>
        <w:t>и</w:t>
      </w:r>
      <w:r w:rsidRPr="00BD5BB8">
        <w:rPr>
          <w:rFonts w:ascii="Times New Roman" w:eastAsia="Arial" w:hAnsi="Times New Roman" w:cs="Times New Roman"/>
          <w:color w:val="000000"/>
          <w:sz w:val="24"/>
          <w:szCs w:val="24"/>
          <w:lang w:eastAsia="bg-BG"/>
        </w:rPr>
        <w:t>то се осигуря</w:t>
      </w:r>
      <w:r w:rsidRPr="00BD5BB8">
        <w:rPr>
          <w:rFonts w:ascii="Times New Roman" w:eastAsia="Courier New" w:hAnsi="Times New Roman" w:cs="Times New Roman"/>
          <w:color w:val="000000"/>
          <w:sz w:val="24"/>
          <w:szCs w:val="24"/>
          <w:lang w:eastAsia="bg-BG"/>
        </w:rPr>
        <w:t>в</w:t>
      </w:r>
      <w:r w:rsidRPr="00BD5BB8">
        <w:rPr>
          <w:rFonts w:ascii="Times New Roman" w:eastAsia="Arial" w:hAnsi="Times New Roman" w:cs="Times New Roman"/>
          <w:color w:val="000000"/>
          <w:sz w:val="24"/>
          <w:szCs w:val="24"/>
          <w:lang w:eastAsia="bg-BG"/>
        </w:rPr>
        <w:t>а прилаган</w:t>
      </w:r>
      <w:r w:rsidRPr="00BD5BB8">
        <w:rPr>
          <w:rFonts w:ascii="Times New Roman" w:eastAsia="Times New Roman" w:hAnsi="Times New Roman" w:cs="Times New Roman"/>
          <w:color w:val="000000"/>
          <w:sz w:val="24"/>
          <w:szCs w:val="24"/>
          <w:lang w:eastAsia="bg-BG"/>
        </w:rPr>
        <w:t>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единни и обоснова</w:t>
      </w:r>
      <w:r w:rsidRPr="00BD5BB8">
        <w:rPr>
          <w:rFonts w:ascii="Times New Roman" w:eastAsia="Times New Roman" w:hAnsi="Times New Roman" w:cs="Times New Roman"/>
          <w:color w:val="000000"/>
          <w:sz w:val="24"/>
          <w:szCs w:val="24"/>
          <w:lang w:eastAsia="bg-BG"/>
        </w:rPr>
        <w:t>ни принци</w:t>
      </w:r>
      <w:r w:rsidRPr="00BD5BB8">
        <w:rPr>
          <w:rFonts w:ascii="Times New Roman" w:eastAsia="Arial" w:hAnsi="Times New Roman" w:cs="Times New Roman"/>
          <w:color w:val="000000"/>
          <w:sz w:val="24"/>
          <w:szCs w:val="24"/>
          <w:lang w:eastAsia="bg-BG"/>
        </w:rPr>
        <w:t>пи, правила и критерии за извършването на медицинските дейности в обхвата на съответните медицински специалности.</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 xml:space="preserve">В областта на достъпа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населението до качествени и безопасни лекарствени продукти на достъпни цени са създадени условия за подобряване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механизмите за ценообразуване и реимбурсира</w:t>
      </w:r>
      <w:r w:rsidRPr="00BD5BB8">
        <w:rPr>
          <w:rFonts w:ascii="Times New Roman" w:eastAsia="Times New Roman" w:hAnsi="Times New Roman" w:cs="Times New Roman"/>
          <w:color w:val="000000"/>
          <w:sz w:val="24"/>
          <w:szCs w:val="24"/>
          <w:lang w:eastAsia="bg-BG"/>
        </w:rPr>
        <w:t xml:space="preserve">не </w:t>
      </w:r>
      <w:r w:rsidRPr="00BD5BB8">
        <w:rPr>
          <w:rFonts w:ascii="Times New Roman" w:eastAsia="Arial" w:hAnsi="Times New Roman" w:cs="Times New Roman"/>
          <w:color w:val="000000"/>
          <w:sz w:val="24"/>
          <w:szCs w:val="24"/>
          <w:lang w:eastAsia="bg-BG"/>
        </w:rPr>
        <w:t>на лекарствените продукти, заплащани с публични ресурс</w:t>
      </w:r>
      <w:r w:rsidRPr="00BD5BB8">
        <w:rPr>
          <w:rFonts w:ascii="Times New Roman" w:eastAsia="Courier New" w:hAnsi="Times New Roman" w:cs="Times New Roman"/>
          <w:color w:val="000000"/>
          <w:sz w:val="24"/>
          <w:szCs w:val="24"/>
          <w:lang w:eastAsia="bg-BG"/>
        </w:rPr>
        <w:t xml:space="preserve">и чрез </w:t>
      </w:r>
      <w:r w:rsidRPr="00BD5BB8">
        <w:rPr>
          <w:rFonts w:ascii="Times New Roman" w:eastAsia="Arial" w:hAnsi="Times New Roman" w:cs="Times New Roman"/>
          <w:color w:val="000000"/>
          <w:sz w:val="24"/>
          <w:szCs w:val="24"/>
          <w:lang w:eastAsia="bg-BG"/>
        </w:rPr>
        <w:t xml:space="preserve">усъвършенстване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оценкат</w:t>
      </w:r>
      <w:r w:rsidRPr="00BD5BB8">
        <w:rPr>
          <w:rFonts w:ascii="Times New Roman" w:eastAsia="Times New Roman" w:hAnsi="Times New Roman" w:cs="Times New Roman"/>
          <w:color w:val="000000"/>
          <w:sz w:val="24"/>
          <w:szCs w:val="24"/>
          <w:lang w:eastAsia="bg-BG"/>
        </w:rPr>
        <w:t xml:space="preserve">а на </w:t>
      </w:r>
      <w:r w:rsidRPr="00BD5BB8">
        <w:rPr>
          <w:rFonts w:ascii="Times New Roman" w:eastAsia="Arial" w:hAnsi="Times New Roman" w:cs="Times New Roman"/>
          <w:color w:val="000000"/>
          <w:sz w:val="24"/>
          <w:szCs w:val="24"/>
          <w:lang w:eastAsia="bg-BG"/>
        </w:rPr>
        <w:t>здравните технологии за иновативни лекарствени продукти, основава</w:t>
      </w:r>
      <w:r w:rsidRPr="00BD5BB8">
        <w:rPr>
          <w:rFonts w:ascii="Times New Roman" w:eastAsia="Times New Roman" w:hAnsi="Times New Roman" w:cs="Times New Roman"/>
          <w:color w:val="000000"/>
          <w:sz w:val="24"/>
          <w:szCs w:val="24"/>
          <w:lang w:eastAsia="bg-BG"/>
        </w:rPr>
        <w:t xml:space="preserve">щи </w:t>
      </w:r>
      <w:r w:rsidRPr="00BD5BB8">
        <w:rPr>
          <w:rFonts w:ascii="Times New Roman" w:eastAsia="Arial" w:hAnsi="Times New Roman" w:cs="Times New Roman"/>
          <w:color w:val="000000"/>
          <w:sz w:val="24"/>
          <w:szCs w:val="24"/>
          <w:lang w:eastAsia="bg-BG"/>
        </w:rPr>
        <w:t>се на научни доказателства.</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Провежданата лекарственат</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политик</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цели създаванет</w:t>
      </w:r>
      <w:r w:rsidRPr="00BD5BB8">
        <w:rPr>
          <w:rFonts w:ascii="Times New Roman" w:eastAsia="Courier New" w:hAnsi="Times New Roman" w:cs="Times New Roman"/>
          <w:color w:val="000000"/>
          <w:sz w:val="24"/>
          <w:szCs w:val="24"/>
          <w:lang w:eastAsia="bg-BG"/>
        </w:rPr>
        <w:t xml:space="preserve">о на </w:t>
      </w:r>
      <w:r w:rsidRPr="00BD5BB8">
        <w:rPr>
          <w:rFonts w:ascii="Times New Roman" w:eastAsia="Arial" w:hAnsi="Times New Roman" w:cs="Times New Roman"/>
          <w:color w:val="000000"/>
          <w:sz w:val="24"/>
          <w:szCs w:val="24"/>
          <w:lang w:eastAsia="bg-BG"/>
        </w:rPr>
        <w:t>б</w:t>
      </w:r>
      <w:r w:rsidRPr="00BD5BB8">
        <w:rPr>
          <w:rFonts w:ascii="Times New Roman" w:eastAsia="Times New Roman" w:hAnsi="Times New Roman" w:cs="Times New Roman"/>
          <w:color w:val="000000"/>
          <w:sz w:val="24"/>
          <w:szCs w:val="24"/>
          <w:lang w:eastAsia="bg-BG"/>
        </w:rPr>
        <w:t>алан</w:t>
      </w:r>
      <w:r w:rsidRPr="00BD5BB8">
        <w:rPr>
          <w:rFonts w:ascii="Times New Roman" w:eastAsia="Arial" w:hAnsi="Times New Roman" w:cs="Times New Roman"/>
          <w:color w:val="000000"/>
          <w:sz w:val="24"/>
          <w:szCs w:val="24"/>
          <w:lang w:eastAsia="bg-BG"/>
        </w:rPr>
        <w:t>с между необходимостта от реимбурсиране на и</w:t>
      </w:r>
      <w:r w:rsidRPr="00BD5BB8">
        <w:rPr>
          <w:rFonts w:ascii="Times New Roman" w:eastAsia="Times New Roman" w:hAnsi="Times New Roman" w:cs="Times New Roman"/>
          <w:color w:val="000000"/>
          <w:sz w:val="24"/>
          <w:szCs w:val="24"/>
          <w:lang w:eastAsia="bg-BG"/>
        </w:rPr>
        <w:t>новативни л</w:t>
      </w:r>
      <w:r w:rsidRPr="00BD5BB8">
        <w:rPr>
          <w:rFonts w:ascii="Times New Roman" w:eastAsia="Arial" w:hAnsi="Times New Roman" w:cs="Times New Roman"/>
          <w:color w:val="000000"/>
          <w:sz w:val="24"/>
          <w:szCs w:val="24"/>
          <w:lang w:eastAsia="bg-BG"/>
        </w:rPr>
        <w:t>екарствени продукти и нуждите на пациентите, съобразявайки се с анализа на съществуващите терапевтични алтернативи в рамките на установения бюджет за лекарствени продукти. Механизмите на системата за ценообразуване и реимбурсиране се стремят да гарантират, че добавянето на нови лекарства в Позитивния лекарствен списък се основава както на оценка на научните доказателст</w:t>
      </w:r>
      <w:r w:rsidRPr="00BD5BB8">
        <w:rPr>
          <w:rFonts w:ascii="Times New Roman" w:eastAsia="Times New Roman" w:hAnsi="Times New Roman" w:cs="Times New Roman"/>
          <w:color w:val="000000"/>
          <w:sz w:val="24"/>
          <w:szCs w:val="24"/>
          <w:lang w:eastAsia="bg-BG"/>
        </w:rPr>
        <w:t xml:space="preserve">ва за </w:t>
      </w:r>
      <w:r w:rsidRPr="00BD5BB8">
        <w:rPr>
          <w:rFonts w:ascii="Times New Roman" w:eastAsia="Arial" w:hAnsi="Times New Roman" w:cs="Times New Roman"/>
          <w:color w:val="000000"/>
          <w:sz w:val="24"/>
          <w:szCs w:val="24"/>
          <w:lang w:eastAsia="bg-BG"/>
        </w:rPr>
        <w:t>терапевтичн</w:t>
      </w:r>
      <w:r w:rsidRPr="00BD5BB8">
        <w:rPr>
          <w:rFonts w:ascii="Times New Roman" w:eastAsia="Times New Roman" w:hAnsi="Times New Roman" w:cs="Times New Roman"/>
          <w:color w:val="000000"/>
          <w:sz w:val="24"/>
          <w:szCs w:val="24"/>
          <w:lang w:eastAsia="bg-BG"/>
        </w:rPr>
        <w:t>а еф</w:t>
      </w:r>
      <w:r w:rsidRPr="00BD5BB8">
        <w:rPr>
          <w:rFonts w:ascii="Times New Roman" w:eastAsia="Arial" w:hAnsi="Times New Roman" w:cs="Times New Roman"/>
          <w:color w:val="000000"/>
          <w:sz w:val="24"/>
          <w:szCs w:val="24"/>
          <w:lang w:eastAsia="bg-BG"/>
        </w:rPr>
        <w:t>ективност, т</w:t>
      </w:r>
      <w:r w:rsidRPr="00BD5BB8">
        <w:rPr>
          <w:rFonts w:ascii="Times New Roman" w:eastAsia="Times New Roman" w:hAnsi="Times New Roman" w:cs="Times New Roman"/>
          <w:color w:val="000000"/>
          <w:sz w:val="24"/>
          <w:szCs w:val="24"/>
          <w:lang w:eastAsia="bg-BG"/>
        </w:rPr>
        <w:t xml:space="preserve">ака и на </w:t>
      </w:r>
      <w:r w:rsidRPr="00BD5BB8">
        <w:rPr>
          <w:rFonts w:ascii="Times New Roman" w:eastAsia="Arial" w:hAnsi="Times New Roman" w:cs="Times New Roman"/>
          <w:color w:val="000000"/>
          <w:sz w:val="24"/>
          <w:szCs w:val="24"/>
          <w:lang w:eastAsia="bg-BG"/>
        </w:rPr>
        <w:t xml:space="preserve">ефикасността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разходите, въздействието върху бюджета и конкретно разглеждане на необходимите условия за целесъобразно предписване.</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 xml:space="preserve">Продължава прилагането на процедурата за поддържане на реимбурсең статус на лекарствените продукти, които вече </w:t>
      </w:r>
      <w:r w:rsidRPr="00BD5BB8">
        <w:rPr>
          <w:rFonts w:ascii="Times New Roman" w:eastAsia="Times New Roman" w:hAnsi="Times New Roman" w:cs="Times New Roman"/>
          <w:color w:val="000000"/>
          <w:sz w:val="24"/>
          <w:szCs w:val="24"/>
          <w:lang w:eastAsia="bg-BG"/>
        </w:rPr>
        <w:t>са вк</w:t>
      </w:r>
      <w:r w:rsidRPr="00BD5BB8">
        <w:rPr>
          <w:rFonts w:ascii="Times New Roman" w:eastAsia="Arial" w:hAnsi="Times New Roman" w:cs="Times New Roman"/>
          <w:color w:val="000000"/>
          <w:sz w:val="24"/>
          <w:szCs w:val="24"/>
          <w:lang w:eastAsia="bg-BG"/>
        </w:rPr>
        <w:t>лючени в ПЛС, с което се гарантира, че сле</w:t>
      </w:r>
      <w:r w:rsidRPr="00BD5BB8">
        <w:rPr>
          <w:rFonts w:ascii="Times New Roman" w:eastAsia="Courier New" w:hAnsi="Times New Roman" w:cs="Times New Roman"/>
          <w:color w:val="000000"/>
          <w:sz w:val="24"/>
          <w:szCs w:val="24"/>
          <w:lang w:eastAsia="bg-BG"/>
        </w:rPr>
        <w:t>д в</w:t>
      </w:r>
      <w:r w:rsidRPr="00BD5BB8">
        <w:rPr>
          <w:rFonts w:ascii="Times New Roman" w:eastAsia="Arial" w:hAnsi="Times New Roman" w:cs="Times New Roman"/>
          <w:color w:val="000000"/>
          <w:sz w:val="24"/>
          <w:szCs w:val="24"/>
          <w:lang w:eastAsia="bg-BG"/>
        </w:rPr>
        <w:t>ключването н</w:t>
      </w:r>
      <w:r w:rsidRPr="00BD5BB8">
        <w:rPr>
          <w:rFonts w:ascii="Times New Roman" w:eastAsia="Times New Roman" w:hAnsi="Times New Roman" w:cs="Times New Roman"/>
          <w:color w:val="000000"/>
          <w:sz w:val="24"/>
          <w:szCs w:val="24"/>
          <w:lang w:eastAsia="bg-BG"/>
        </w:rPr>
        <w:t>а л</w:t>
      </w:r>
      <w:r w:rsidRPr="00BD5BB8">
        <w:rPr>
          <w:rFonts w:ascii="Times New Roman" w:eastAsia="Arial" w:hAnsi="Times New Roman" w:cs="Times New Roman"/>
          <w:color w:val="000000"/>
          <w:sz w:val="24"/>
          <w:szCs w:val="24"/>
          <w:lang w:eastAsia="bg-BG"/>
        </w:rPr>
        <w:t xml:space="preserve">екарствен </w:t>
      </w:r>
      <w:r w:rsidRPr="00BD5BB8">
        <w:rPr>
          <w:rFonts w:ascii="Times New Roman" w:eastAsia="Times New Roman" w:hAnsi="Times New Roman" w:cs="Times New Roman"/>
          <w:color w:val="000000"/>
          <w:sz w:val="24"/>
          <w:szCs w:val="24"/>
          <w:lang w:eastAsia="bg-BG"/>
        </w:rPr>
        <w:t xml:space="preserve">продукт </w:t>
      </w:r>
      <w:r w:rsidRPr="00BD5BB8">
        <w:rPr>
          <w:rFonts w:ascii="Times New Roman" w:eastAsia="Arial" w:hAnsi="Times New Roman" w:cs="Times New Roman"/>
          <w:color w:val="000000"/>
          <w:sz w:val="24"/>
          <w:szCs w:val="24"/>
          <w:lang w:eastAsia="bg-BG"/>
        </w:rPr>
        <w:t>в реимбурсната система, същият ще бъде отново оценя</w:t>
      </w:r>
      <w:r w:rsidRPr="00BD5BB8">
        <w:rPr>
          <w:rFonts w:ascii="Times New Roman" w:eastAsia="Times New Roman" w:hAnsi="Times New Roman" w:cs="Times New Roman"/>
          <w:color w:val="000000"/>
          <w:sz w:val="24"/>
          <w:szCs w:val="24"/>
          <w:lang w:eastAsia="bg-BG"/>
        </w:rPr>
        <w:t>ван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всеки 3 го</w:t>
      </w:r>
      <w:r w:rsidRPr="00BD5BB8">
        <w:rPr>
          <w:rFonts w:ascii="Times New Roman" w:eastAsia="Times New Roman" w:hAnsi="Times New Roman" w:cs="Times New Roman"/>
          <w:color w:val="000000"/>
          <w:sz w:val="24"/>
          <w:szCs w:val="24"/>
          <w:lang w:eastAsia="bg-BG"/>
        </w:rPr>
        <w:t>д</w:t>
      </w:r>
      <w:r w:rsidRPr="00BD5BB8">
        <w:rPr>
          <w:rFonts w:ascii="Times New Roman" w:eastAsia="Arial" w:hAnsi="Times New Roman" w:cs="Times New Roman"/>
          <w:color w:val="000000"/>
          <w:sz w:val="24"/>
          <w:szCs w:val="24"/>
          <w:lang w:eastAsia="bg-BG"/>
        </w:rPr>
        <w:t xml:space="preserve">ини, с оглед проследяване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доказателства за ефикасност, терапевтич</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е</w:t>
      </w:r>
      <w:r w:rsidRPr="00BD5BB8">
        <w:rPr>
          <w:rFonts w:ascii="Times New Roman" w:eastAsia="Times New Roman" w:hAnsi="Times New Roman" w:cs="Times New Roman"/>
          <w:color w:val="000000"/>
          <w:sz w:val="24"/>
          <w:szCs w:val="24"/>
          <w:lang w:eastAsia="bg-BG"/>
        </w:rPr>
        <w:t>ф</w:t>
      </w:r>
      <w:r w:rsidRPr="00BD5BB8">
        <w:rPr>
          <w:rFonts w:ascii="Times New Roman" w:eastAsia="Arial" w:hAnsi="Times New Roman" w:cs="Times New Roman"/>
          <w:color w:val="000000"/>
          <w:sz w:val="24"/>
          <w:szCs w:val="24"/>
          <w:lang w:eastAsia="bg-BG"/>
        </w:rPr>
        <w:t xml:space="preserve">ективност, безопасност </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ан</w:t>
      </w:r>
      <w:r w:rsidRPr="00BD5BB8">
        <w:rPr>
          <w:rFonts w:ascii="Times New Roman" w:eastAsia="Times New Roman" w:hAnsi="Times New Roman" w:cs="Times New Roman"/>
          <w:color w:val="000000"/>
          <w:sz w:val="24"/>
          <w:szCs w:val="24"/>
          <w:lang w:eastAsia="bg-BG"/>
        </w:rPr>
        <w:t>али</w:t>
      </w:r>
      <w:r w:rsidRPr="00BD5BB8">
        <w:rPr>
          <w:rFonts w:ascii="Times New Roman" w:eastAsia="Courier New" w:hAnsi="Times New Roman" w:cs="Times New Roman"/>
          <w:color w:val="000000"/>
          <w:sz w:val="24"/>
          <w:szCs w:val="24"/>
          <w:lang w:eastAsia="bg-BG"/>
        </w:rPr>
        <w:t xml:space="preserve">з на </w:t>
      </w:r>
      <w:r w:rsidRPr="00BD5BB8">
        <w:rPr>
          <w:rFonts w:ascii="Times New Roman" w:eastAsia="Arial" w:hAnsi="Times New Roman" w:cs="Times New Roman"/>
          <w:color w:val="000000"/>
          <w:sz w:val="24"/>
          <w:szCs w:val="24"/>
          <w:lang w:eastAsia="bg-BG"/>
        </w:rPr>
        <w:t>фармако икономически показатели.</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С извършен</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 xml:space="preserve">промени в Закона </w:t>
      </w:r>
      <w:r w:rsidRPr="00BD5BB8">
        <w:rPr>
          <w:rFonts w:ascii="Times New Roman" w:eastAsia="Courier New" w:hAnsi="Times New Roman" w:cs="Times New Roman"/>
          <w:color w:val="000000"/>
          <w:sz w:val="24"/>
          <w:szCs w:val="24"/>
          <w:lang w:eastAsia="bg-BG"/>
        </w:rPr>
        <w:t xml:space="preserve">за </w:t>
      </w:r>
      <w:r w:rsidRPr="00BD5BB8">
        <w:rPr>
          <w:rFonts w:ascii="Times New Roman" w:eastAsia="Arial" w:hAnsi="Times New Roman" w:cs="Times New Roman"/>
          <w:color w:val="000000"/>
          <w:sz w:val="24"/>
          <w:szCs w:val="24"/>
          <w:lang w:eastAsia="bg-BG"/>
        </w:rPr>
        <w:t>лекарствените продукт</w:t>
      </w:r>
      <w:r w:rsidRPr="00BD5BB8">
        <w:rPr>
          <w:rFonts w:ascii="Times New Roman" w:eastAsia="Courier New" w:hAnsi="Times New Roman" w:cs="Times New Roman"/>
          <w:color w:val="000000"/>
          <w:sz w:val="24"/>
          <w:szCs w:val="24"/>
          <w:lang w:eastAsia="bg-BG"/>
        </w:rPr>
        <w:t xml:space="preserve">и в </w:t>
      </w:r>
      <w:r w:rsidRPr="00BD5BB8">
        <w:rPr>
          <w:rFonts w:ascii="Times New Roman" w:eastAsia="Arial" w:hAnsi="Times New Roman" w:cs="Times New Roman"/>
          <w:color w:val="000000"/>
          <w:sz w:val="24"/>
          <w:szCs w:val="24"/>
          <w:lang w:eastAsia="bg-BG"/>
        </w:rPr>
        <w:t xml:space="preserve">хуманната медицина </w:t>
      </w:r>
      <w:r w:rsidRPr="00BD5BB8">
        <w:rPr>
          <w:rFonts w:ascii="Times New Roman" w:eastAsia="Courier New" w:hAnsi="Times New Roman" w:cs="Times New Roman"/>
          <w:color w:val="000000"/>
          <w:sz w:val="24"/>
          <w:szCs w:val="24"/>
          <w:lang w:eastAsia="bg-BG"/>
        </w:rPr>
        <w:t>с</w:t>
      </w:r>
      <w:r w:rsidRPr="00BD5BB8">
        <w:rPr>
          <w:rFonts w:ascii="Times New Roman" w:eastAsia="Arial" w:hAnsi="Times New Roman" w:cs="Times New Roman"/>
          <w:color w:val="000000"/>
          <w:sz w:val="24"/>
          <w:szCs w:val="24"/>
          <w:lang w:eastAsia="bg-BG"/>
        </w:rPr>
        <w:t>е съз</w:t>
      </w:r>
      <w:r w:rsidRPr="00BD5BB8">
        <w:rPr>
          <w:rFonts w:ascii="Times New Roman" w:eastAsia="Times New Roman" w:hAnsi="Times New Roman" w:cs="Times New Roman"/>
          <w:color w:val="000000"/>
          <w:sz w:val="24"/>
          <w:szCs w:val="24"/>
          <w:lang w:eastAsia="bg-BG"/>
        </w:rPr>
        <w:t xml:space="preserve">дават </w:t>
      </w:r>
      <w:r w:rsidRPr="00BD5BB8">
        <w:rPr>
          <w:rFonts w:ascii="Times New Roman" w:eastAsia="Arial" w:hAnsi="Times New Roman" w:cs="Times New Roman"/>
          <w:color w:val="000000"/>
          <w:sz w:val="24"/>
          <w:szCs w:val="24"/>
          <w:lang w:eastAsia="bg-BG"/>
        </w:rPr>
        <w:t>правни предпоставки за въ</w:t>
      </w:r>
      <w:r w:rsidRPr="00BD5BB8">
        <w:rPr>
          <w:rFonts w:ascii="Times New Roman" w:eastAsia="Times New Roman" w:hAnsi="Times New Roman" w:cs="Times New Roman"/>
          <w:color w:val="000000"/>
          <w:sz w:val="24"/>
          <w:szCs w:val="24"/>
          <w:lang w:eastAsia="bg-BG"/>
        </w:rPr>
        <w:t>в</w:t>
      </w:r>
      <w:r w:rsidRPr="00BD5BB8">
        <w:rPr>
          <w:rFonts w:ascii="Times New Roman" w:eastAsia="Arial" w:hAnsi="Times New Roman" w:cs="Times New Roman"/>
          <w:color w:val="000000"/>
          <w:sz w:val="24"/>
          <w:szCs w:val="24"/>
          <w:lang w:eastAsia="bg-BG"/>
        </w:rPr>
        <w:t>еждане на електронна информацион</w:t>
      </w:r>
      <w:r w:rsidRPr="00BD5BB8">
        <w:rPr>
          <w:rFonts w:ascii="Times New Roman" w:eastAsia="Times New Roman" w:hAnsi="Times New Roman" w:cs="Times New Roman"/>
          <w:color w:val="000000"/>
          <w:sz w:val="24"/>
          <w:szCs w:val="24"/>
          <w:lang w:eastAsia="bg-BG"/>
        </w:rPr>
        <w:t>на си</w:t>
      </w:r>
      <w:r w:rsidRPr="00BD5BB8">
        <w:rPr>
          <w:rFonts w:ascii="Times New Roman" w:eastAsia="Arial" w:hAnsi="Times New Roman" w:cs="Times New Roman"/>
          <w:color w:val="000000"/>
          <w:sz w:val="24"/>
          <w:szCs w:val="24"/>
          <w:lang w:eastAsia="bg-BG"/>
        </w:rPr>
        <w:t>стем</w:t>
      </w:r>
      <w:r w:rsidRPr="00BD5BB8">
        <w:rPr>
          <w:rFonts w:ascii="Times New Roman" w:eastAsia="Times New Roman" w:hAnsi="Times New Roman" w:cs="Times New Roman"/>
          <w:color w:val="000000"/>
          <w:sz w:val="24"/>
          <w:szCs w:val="24"/>
          <w:lang w:eastAsia="bg-BG"/>
        </w:rPr>
        <w:t xml:space="preserve">а за </w:t>
      </w:r>
      <w:r w:rsidRPr="00BD5BB8">
        <w:rPr>
          <w:rFonts w:ascii="Times New Roman" w:eastAsia="Arial" w:hAnsi="Times New Roman" w:cs="Times New Roman"/>
          <w:color w:val="000000"/>
          <w:sz w:val="24"/>
          <w:szCs w:val="24"/>
          <w:lang w:eastAsia="bg-BG"/>
        </w:rPr>
        <w:t>наблюден</w:t>
      </w:r>
      <w:r w:rsidRPr="00BD5BB8">
        <w:rPr>
          <w:rFonts w:ascii="Times New Roman" w:eastAsia="Times New Roman" w:hAnsi="Times New Roman" w:cs="Times New Roman"/>
          <w:color w:val="000000"/>
          <w:sz w:val="24"/>
          <w:szCs w:val="24"/>
          <w:lang w:eastAsia="bg-BG"/>
        </w:rPr>
        <w:t xml:space="preserve">ие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лекарствени продукти от Позитивния лекарствен списък и ограничаване на износа им при установен недостиг или липса с цел осигуряване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достатъч</w:t>
      </w:r>
      <w:r w:rsidRPr="00BD5BB8">
        <w:rPr>
          <w:rFonts w:ascii="Times New Roman" w:eastAsia="Times New Roman" w:hAnsi="Times New Roman" w:cs="Times New Roman"/>
          <w:color w:val="000000"/>
          <w:sz w:val="24"/>
          <w:szCs w:val="24"/>
          <w:lang w:eastAsia="bg-BG"/>
        </w:rPr>
        <w:t xml:space="preserve">ни </w:t>
      </w:r>
      <w:r w:rsidRPr="00BD5BB8">
        <w:rPr>
          <w:rFonts w:ascii="Times New Roman" w:eastAsia="Arial" w:hAnsi="Times New Roman" w:cs="Times New Roman"/>
          <w:color w:val="000000"/>
          <w:sz w:val="24"/>
          <w:szCs w:val="24"/>
          <w:lang w:eastAsia="bg-BG"/>
        </w:rPr>
        <w:t>количества лекарстве</w:t>
      </w:r>
      <w:r w:rsidRPr="00BD5BB8">
        <w:rPr>
          <w:rFonts w:ascii="Times New Roman" w:eastAsia="Times New Roman"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и продук</w:t>
      </w:r>
      <w:r w:rsidRPr="00BD5BB8">
        <w:rPr>
          <w:rFonts w:ascii="Times New Roman" w:eastAsia="Times New Roman" w:hAnsi="Times New Roman" w:cs="Times New Roman"/>
          <w:color w:val="000000"/>
          <w:sz w:val="24"/>
          <w:szCs w:val="24"/>
          <w:lang w:eastAsia="bg-BG"/>
        </w:rPr>
        <w:t xml:space="preserve">ти за </w:t>
      </w:r>
      <w:r w:rsidRPr="00BD5BB8">
        <w:rPr>
          <w:rFonts w:ascii="Times New Roman" w:eastAsia="Arial" w:hAnsi="Times New Roman" w:cs="Times New Roman"/>
          <w:color w:val="000000"/>
          <w:sz w:val="24"/>
          <w:szCs w:val="24"/>
          <w:lang w:eastAsia="bg-BG"/>
        </w:rPr>
        <w:t>па</w:t>
      </w:r>
      <w:r w:rsidRPr="00BD5BB8">
        <w:rPr>
          <w:rFonts w:ascii="Times New Roman" w:eastAsia="Times New Roman" w:hAnsi="Times New Roman" w:cs="Times New Roman"/>
          <w:color w:val="000000"/>
          <w:sz w:val="24"/>
          <w:szCs w:val="24"/>
          <w:lang w:eastAsia="bg-BG"/>
        </w:rPr>
        <w:t>ци</w:t>
      </w:r>
      <w:r w:rsidRPr="00BD5BB8">
        <w:rPr>
          <w:rFonts w:ascii="Times New Roman" w:eastAsia="Arial" w:hAnsi="Times New Roman" w:cs="Times New Roman"/>
          <w:color w:val="000000"/>
          <w:sz w:val="24"/>
          <w:szCs w:val="24"/>
          <w:lang w:eastAsia="bg-BG"/>
        </w:rPr>
        <w:t xml:space="preserve">ентите в страната. Въвежда се правна възможност за използване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лекарствен</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продукти за състрадателна употреба в Р</w:t>
      </w:r>
      <w:r w:rsidRPr="00BD5BB8">
        <w:rPr>
          <w:rFonts w:ascii="Times New Roman" w:eastAsia="Courier New" w:hAnsi="Times New Roman" w:cs="Times New Roman"/>
          <w:color w:val="000000"/>
          <w:sz w:val="24"/>
          <w:szCs w:val="24"/>
          <w:lang w:eastAsia="bg-BG"/>
        </w:rPr>
        <w:t>е</w:t>
      </w:r>
      <w:r w:rsidRPr="00BD5BB8">
        <w:rPr>
          <w:rFonts w:ascii="Times New Roman" w:eastAsia="Arial" w:hAnsi="Times New Roman" w:cs="Times New Roman"/>
          <w:color w:val="000000"/>
          <w:sz w:val="24"/>
          <w:szCs w:val="24"/>
          <w:lang w:eastAsia="bg-BG"/>
        </w:rPr>
        <w:t xml:space="preserve">публика България. Регламентира </w:t>
      </w:r>
      <w:r w:rsidRPr="00BD5BB8">
        <w:rPr>
          <w:rFonts w:ascii="Times New Roman" w:eastAsia="Courier New" w:hAnsi="Times New Roman" w:cs="Times New Roman"/>
          <w:color w:val="000000"/>
          <w:sz w:val="24"/>
          <w:szCs w:val="24"/>
          <w:lang w:eastAsia="bg-BG"/>
        </w:rPr>
        <w:t xml:space="preserve">се </w:t>
      </w:r>
      <w:r w:rsidRPr="00BD5BB8">
        <w:rPr>
          <w:rFonts w:ascii="Times New Roman" w:eastAsia="Arial" w:hAnsi="Times New Roman" w:cs="Times New Roman"/>
          <w:color w:val="000000"/>
          <w:sz w:val="24"/>
          <w:szCs w:val="24"/>
          <w:lang w:eastAsia="bg-BG"/>
        </w:rPr>
        <w:t>задължение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На</w:t>
      </w:r>
      <w:r w:rsidRPr="00BD5BB8">
        <w:rPr>
          <w:rFonts w:ascii="Times New Roman" w:eastAsia="Times New Roman" w:hAnsi="Times New Roman" w:cs="Times New Roman"/>
          <w:color w:val="000000"/>
          <w:sz w:val="24"/>
          <w:szCs w:val="24"/>
          <w:lang w:eastAsia="bg-BG"/>
        </w:rPr>
        <w:t>цион</w:t>
      </w:r>
      <w:r w:rsidRPr="00BD5BB8">
        <w:rPr>
          <w:rFonts w:ascii="Times New Roman" w:eastAsia="Arial" w:hAnsi="Times New Roman" w:cs="Times New Roman"/>
          <w:color w:val="000000"/>
          <w:sz w:val="24"/>
          <w:szCs w:val="24"/>
          <w:lang w:eastAsia="bg-BG"/>
        </w:rPr>
        <w:t>алния съвет по цени и реимбурсиране на лекарствените продукти (НСЦРЛП) да определ</w:t>
      </w:r>
      <w:r w:rsidRPr="00BD5BB8">
        <w:rPr>
          <w:rFonts w:ascii="Times New Roman" w:eastAsia="Times New Roman" w:hAnsi="Times New Roman" w:cs="Times New Roman"/>
          <w:color w:val="000000"/>
          <w:sz w:val="24"/>
          <w:szCs w:val="24"/>
          <w:lang w:eastAsia="bg-BG"/>
        </w:rPr>
        <w:t>я лек</w:t>
      </w:r>
      <w:r w:rsidRPr="00BD5BB8">
        <w:rPr>
          <w:rFonts w:ascii="Times New Roman" w:eastAsia="Arial" w:hAnsi="Times New Roman" w:cs="Times New Roman"/>
          <w:color w:val="000000"/>
          <w:sz w:val="24"/>
          <w:szCs w:val="24"/>
          <w:lang w:eastAsia="bg-BG"/>
        </w:rPr>
        <w:t>арствените продукти с ново международно непатентно наименование, за коит</w:t>
      </w:r>
      <w:r w:rsidRPr="00BD5BB8">
        <w:rPr>
          <w:rFonts w:ascii="Times New Roman" w:eastAsia="Times New Roman" w:hAnsi="Times New Roman" w:cs="Times New Roman"/>
          <w:color w:val="000000"/>
          <w:sz w:val="24"/>
          <w:szCs w:val="24"/>
          <w:lang w:eastAsia="bg-BG"/>
        </w:rPr>
        <w:t>о п</w:t>
      </w:r>
      <w:r w:rsidRPr="00BD5BB8">
        <w:rPr>
          <w:rFonts w:ascii="Times New Roman" w:eastAsia="Courier New" w:hAnsi="Times New Roman" w:cs="Times New Roman"/>
          <w:color w:val="000000"/>
          <w:sz w:val="24"/>
          <w:szCs w:val="24"/>
          <w:lang w:eastAsia="bg-BG"/>
        </w:rPr>
        <w:t>ри в</w:t>
      </w:r>
      <w:r w:rsidRPr="00BD5BB8">
        <w:rPr>
          <w:rFonts w:ascii="Times New Roman" w:eastAsia="Arial" w:hAnsi="Times New Roman" w:cs="Times New Roman"/>
          <w:color w:val="000000"/>
          <w:sz w:val="24"/>
          <w:szCs w:val="24"/>
          <w:lang w:eastAsia="bg-BG"/>
        </w:rPr>
        <w:t>ключванет</w:t>
      </w:r>
      <w:r w:rsidRPr="00BD5BB8">
        <w:rPr>
          <w:rFonts w:ascii="Times New Roman" w:eastAsia="Times New Roman" w:hAnsi="Times New Roman" w:cs="Times New Roman"/>
          <w:color w:val="000000"/>
          <w:sz w:val="24"/>
          <w:szCs w:val="24"/>
          <w:lang w:eastAsia="bg-BG"/>
        </w:rPr>
        <w:t xml:space="preserve">о им в </w:t>
      </w:r>
      <w:r w:rsidRPr="00BD5BB8">
        <w:rPr>
          <w:rFonts w:ascii="Times New Roman" w:eastAsia="Arial" w:hAnsi="Times New Roman" w:cs="Times New Roman"/>
          <w:color w:val="000000"/>
          <w:sz w:val="24"/>
          <w:szCs w:val="24"/>
          <w:lang w:eastAsia="bg-BG"/>
        </w:rPr>
        <w:t>Позитив</w:t>
      </w:r>
      <w:r w:rsidRPr="00BD5BB8">
        <w:rPr>
          <w:rFonts w:ascii="Times New Roman" w:eastAsia="Courier New" w:hAnsi="Times New Roman" w:cs="Times New Roman"/>
          <w:color w:val="000000"/>
          <w:sz w:val="24"/>
          <w:szCs w:val="24"/>
          <w:lang w:eastAsia="bg-BG"/>
        </w:rPr>
        <w:t xml:space="preserve">ния </w:t>
      </w:r>
      <w:r w:rsidRPr="00BD5BB8">
        <w:rPr>
          <w:rFonts w:ascii="Times New Roman" w:eastAsia="Arial" w:hAnsi="Times New Roman" w:cs="Times New Roman"/>
          <w:color w:val="000000"/>
          <w:sz w:val="24"/>
          <w:szCs w:val="24"/>
          <w:lang w:eastAsia="bg-BG"/>
        </w:rPr>
        <w:t>лекарстве</w:t>
      </w:r>
      <w:r w:rsidRPr="00BD5BB8">
        <w:rPr>
          <w:rFonts w:ascii="Times New Roman" w:eastAsia="Courier New" w:hAnsi="Times New Roman" w:cs="Times New Roman"/>
          <w:color w:val="000000"/>
          <w:sz w:val="24"/>
          <w:szCs w:val="24"/>
          <w:lang w:eastAsia="bg-BG"/>
        </w:rPr>
        <w:t xml:space="preserve">н </w:t>
      </w:r>
      <w:r w:rsidRPr="00BD5BB8">
        <w:rPr>
          <w:rFonts w:ascii="Times New Roman" w:eastAsia="Arial" w:hAnsi="Times New Roman" w:cs="Times New Roman"/>
          <w:color w:val="000000"/>
          <w:sz w:val="24"/>
          <w:szCs w:val="24"/>
          <w:lang w:eastAsia="bg-BG"/>
        </w:rPr>
        <w:t>сп</w:t>
      </w:r>
      <w:r w:rsidRPr="00BD5BB8">
        <w:rPr>
          <w:rFonts w:ascii="Times New Roman" w:eastAsia="Courier New" w:hAnsi="Times New Roman" w:cs="Times New Roman"/>
          <w:color w:val="000000"/>
          <w:sz w:val="24"/>
          <w:szCs w:val="24"/>
          <w:lang w:eastAsia="bg-BG"/>
        </w:rPr>
        <w:t xml:space="preserve">исък не са </w:t>
      </w:r>
      <w:r w:rsidRPr="00BD5BB8">
        <w:rPr>
          <w:rFonts w:ascii="Times New Roman" w:eastAsia="Arial" w:hAnsi="Times New Roman" w:cs="Times New Roman"/>
          <w:color w:val="000000"/>
          <w:sz w:val="24"/>
          <w:szCs w:val="24"/>
          <w:lang w:eastAsia="bg-BG"/>
        </w:rPr>
        <w:t>представени доказателств</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Times New Roman" w:hAnsi="Times New Roman" w:cs="Times New Roman"/>
          <w:color w:val="000000"/>
          <w:sz w:val="24"/>
          <w:szCs w:val="24"/>
          <w:lang w:eastAsia="bg-BG"/>
        </w:rPr>
        <w:t xml:space="preserve">за </w:t>
      </w:r>
      <w:r w:rsidRPr="00BD5BB8">
        <w:rPr>
          <w:rFonts w:ascii="Times New Roman" w:eastAsia="Arial" w:hAnsi="Times New Roman" w:cs="Times New Roman"/>
          <w:color w:val="000000"/>
          <w:sz w:val="24"/>
          <w:szCs w:val="24"/>
          <w:lang w:eastAsia="bg-BG"/>
        </w:rPr>
        <w:t>терапевт</w:t>
      </w:r>
      <w:r w:rsidRPr="00BD5BB8">
        <w:rPr>
          <w:rFonts w:ascii="Times New Roman" w:eastAsia="Times New Roman" w:hAnsi="Times New Roman" w:cs="Times New Roman"/>
          <w:color w:val="000000"/>
          <w:sz w:val="24"/>
          <w:szCs w:val="24"/>
          <w:lang w:eastAsia="bg-BG"/>
        </w:rPr>
        <w:t>ичн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ефективност и/или съотношението разход-резултат е стойностно неефективно и </w:t>
      </w:r>
      <w:r w:rsidRPr="00BD5BB8">
        <w:rPr>
          <w:rFonts w:ascii="Times New Roman" w:eastAsia="Times New Roman" w:hAnsi="Times New Roman" w:cs="Times New Roman"/>
          <w:color w:val="000000"/>
          <w:sz w:val="24"/>
          <w:szCs w:val="24"/>
          <w:lang w:eastAsia="bg-BG"/>
        </w:rPr>
        <w:t xml:space="preserve">да </w:t>
      </w:r>
      <w:r w:rsidRPr="00BD5BB8">
        <w:rPr>
          <w:rFonts w:ascii="Times New Roman" w:eastAsia="Arial" w:hAnsi="Times New Roman" w:cs="Times New Roman"/>
          <w:color w:val="000000"/>
          <w:sz w:val="24"/>
          <w:szCs w:val="24"/>
          <w:lang w:eastAsia="bg-BG"/>
        </w:rPr>
        <w:t>въвежда изискван</w:t>
      </w:r>
      <w:r w:rsidRPr="00BD5BB8">
        <w:rPr>
          <w:rFonts w:ascii="Times New Roman" w:eastAsia="Courier New"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проследяване на ефекта </w:t>
      </w:r>
      <w:r w:rsidRPr="00BD5BB8">
        <w:rPr>
          <w:rFonts w:ascii="Times New Roman" w:eastAsia="Courier New" w:hAnsi="Times New Roman" w:cs="Times New Roman"/>
          <w:color w:val="000000"/>
          <w:sz w:val="24"/>
          <w:szCs w:val="24"/>
          <w:lang w:eastAsia="bg-BG"/>
        </w:rPr>
        <w:t xml:space="preserve">от </w:t>
      </w:r>
      <w:r w:rsidRPr="00BD5BB8">
        <w:rPr>
          <w:rFonts w:ascii="Times New Roman" w:eastAsia="Arial" w:hAnsi="Times New Roman" w:cs="Times New Roman"/>
          <w:color w:val="000000"/>
          <w:sz w:val="24"/>
          <w:szCs w:val="24"/>
          <w:lang w:eastAsia="bg-BG"/>
        </w:rPr>
        <w:t>терапията с тях, срокът, както и лечебните заведения, в к</w:t>
      </w:r>
      <w:r w:rsidRPr="00BD5BB8">
        <w:rPr>
          <w:rFonts w:ascii="Times New Roman" w:eastAsia="Times New Roman" w:hAnsi="Times New Roman" w:cs="Times New Roman"/>
          <w:color w:val="000000"/>
          <w:sz w:val="24"/>
          <w:szCs w:val="24"/>
          <w:lang w:eastAsia="bg-BG"/>
        </w:rPr>
        <w:t>ои</w:t>
      </w:r>
      <w:r w:rsidRPr="00BD5BB8">
        <w:rPr>
          <w:rFonts w:ascii="Times New Roman" w:eastAsia="Arial" w:hAnsi="Times New Roman" w:cs="Times New Roman"/>
          <w:color w:val="000000"/>
          <w:sz w:val="24"/>
          <w:szCs w:val="24"/>
          <w:lang w:eastAsia="bg-BG"/>
        </w:rPr>
        <w:t>то с</w:t>
      </w:r>
      <w:r w:rsidRPr="00BD5BB8">
        <w:rPr>
          <w:rFonts w:ascii="Times New Roman" w:eastAsia="Times New Roman" w:hAnsi="Times New Roman" w:cs="Times New Roman"/>
          <w:color w:val="000000"/>
          <w:sz w:val="24"/>
          <w:szCs w:val="24"/>
          <w:lang w:eastAsia="bg-BG"/>
        </w:rPr>
        <w:t>е и</w:t>
      </w:r>
      <w:r w:rsidRPr="00BD5BB8">
        <w:rPr>
          <w:rFonts w:ascii="Times New Roman" w:eastAsia="Arial" w:hAnsi="Times New Roman" w:cs="Times New Roman"/>
          <w:color w:val="000000"/>
          <w:sz w:val="24"/>
          <w:szCs w:val="24"/>
          <w:lang w:eastAsia="bg-BG"/>
        </w:rPr>
        <w:t>звършва. С цел извър</w:t>
      </w:r>
      <w:r w:rsidRPr="00BD5BB8">
        <w:rPr>
          <w:rFonts w:ascii="Times New Roman" w:eastAsia="Times New Roman" w:hAnsi="Times New Roman" w:cs="Times New Roman"/>
          <w:color w:val="000000"/>
          <w:sz w:val="24"/>
          <w:szCs w:val="24"/>
          <w:lang w:eastAsia="bg-BG"/>
        </w:rPr>
        <w:t>шване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комплекс</w:t>
      </w:r>
      <w:r w:rsidRPr="00BD5BB8">
        <w:rPr>
          <w:rFonts w:ascii="Times New Roman" w:eastAsia="Times New Roman" w:hAnsi="Times New Roman" w:cs="Times New Roman"/>
          <w:color w:val="000000"/>
          <w:sz w:val="24"/>
          <w:szCs w:val="24"/>
          <w:lang w:eastAsia="bg-BG"/>
        </w:rPr>
        <w:t>на о</w:t>
      </w:r>
      <w:r w:rsidRPr="00BD5BB8">
        <w:rPr>
          <w:rFonts w:ascii="Times New Roman" w:eastAsia="Arial" w:hAnsi="Times New Roman" w:cs="Times New Roman"/>
          <w:color w:val="000000"/>
          <w:sz w:val="24"/>
          <w:szCs w:val="24"/>
          <w:lang w:eastAsia="bg-BG"/>
        </w:rPr>
        <w:t>цен</w:t>
      </w:r>
      <w:r w:rsidRPr="00BD5BB8">
        <w:rPr>
          <w:rFonts w:ascii="Times New Roman" w:eastAsia="Times New Roman" w:hAnsi="Times New Roman" w:cs="Times New Roman"/>
          <w:color w:val="000000"/>
          <w:sz w:val="24"/>
          <w:szCs w:val="24"/>
          <w:lang w:eastAsia="bg-BG"/>
        </w:rPr>
        <w:t>к</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Times New Roman" w:hAnsi="Times New Roman" w:cs="Times New Roman"/>
          <w:color w:val="000000"/>
          <w:sz w:val="24"/>
          <w:szCs w:val="24"/>
          <w:lang w:eastAsia="bg-BG"/>
        </w:rPr>
        <w:t>и обединяване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пр</w:t>
      </w:r>
      <w:r w:rsidRPr="00BD5BB8">
        <w:rPr>
          <w:rFonts w:ascii="Times New Roman" w:eastAsia="Times New Roman" w:hAnsi="Times New Roman" w:cs="Times New Roman"/>
          <w:color w:val="000000"/>
          <w:sz w:val="24"/>
          <w:szCs w:val="24"/>
          <w:lang w:eastAsia="bg-BG"/>
        </w:rPr>
        <w:t>оц</w:t>
      </w:r>
      <w:r w:rsidRPr="00BD5BB8">
        <w:rPr>
          <w:rFonts w:ascii="Times New Roman" w:eastAsia="Arial" w:hAnsi="Times New Roman" w:cs="Times New Roman"/>
          <w:color w:val="000000"/>
          <w:sz w:val="24"/>
          <w:szCs w:val="24"/>
          <w:lang w:eastAsia="bg-BG"/>
        </w:rPr>
        <w:t>едурит</w:t>
      </w:r>
      <w:r w:rsidRPr="00BD5BB8">
        <w:rPr>
          <w:rFonts w:ascii="Times New Roman" w:eastAsia="Times New Roman" w:hAnsi="Times New Roman" w:cs="Times New Roman"/>
          <w:color w:val="000000"/>
          <w:sz w:val="24"/>
          <w:szCs w:val="24"/>
          <w:lang w:eastAsia="bg-BG"/>
        </w:rPr>
        <w:t>е за о</w:t>
      </w:r>
      <w:r w:rsidRPr="00BD5BB8">
        <w:rPr>
          <w:rFonts w:ascii="Times New Roman" w:eastAsia="Arial" w:hAnsi="Times New Roman" w:cs="Times New Roman"/>
          <w:color w:val="000000"/>
          <w:sz w:val="24"/>
          <w:szCs w:val="24"/>
          <w:lang w:eastAsia="bg-BG"/>
        </w:rPr>
        <w:t xml:space="preserve">ценяване </w:t>
      </w:r>
      <w:r w:rsidRPr="00BD5BB8">
        <w:rPr>
          <w:rFonts w:ascii="Times New Roman" w:eastAsia="Arial" w:hAnsi="Times New Roman" w:cs="Times New Roman"/>
          <w:color w:val="000000"/>
          <w:sz w:val="24"/>
          <w:szCs w:val="24"/>
          <w:lang w:eastAsia="bg-BG"/>
        </w:rPr>
        <w:lastRenderedPageBreak/>
        <w:t>лекарствените продукт</w:t>
      </w:r>
      <w:r w:rsidRPr="00BD5BB8">
        <w:rPr>
          <w:rFonts w:ascii="Times New Roman" w:eastAsia="Times New Roman" w:hAnsi="Times New Roman" w:cs="Times New Roman"/>
          <w:color w:val="000000"/>
          <w:sz w:val="24"/>
          <w:szCs w:val="24"/>
          <w:lang w:eastAsia="bg-BG"/>
        </w:rPr>
        <w:t>и</w:t>
      </w:r>
      <w:r w:rsidRPr="00BD5BB8">
        <w:rPr>
          <w:rFonts w:ascii="Times New Roman" w:eastAsia="Courier New" w:hAnsi="Times New Roman" w:cs="Times New Roman"/>
          <w:color w:val="000000"/>
          <w:sz w:val="24"/>
          <w:szCs w:val="24"/>
          <w:lang w:eastAsia="bg-BG"/>
        </w:rPr>
        <w:t xml:space="preserve">, </w:t>
      </w:r>
      <w:r w:rsidRPr="00BD5BB8">
        <w:rPr>
          <w:rFonts w:ascii="Times New Roman" w:eastAsia="Arial" w:hAnsi="Times New Roman" w:cs="Times New Roman"/>
          <w:color w:val="000000"/>
          <w:sz w:val="24"/>
          <w:szCs w:val="24"/>
          <w:lang w:eastAsia="bg-BG"/>
        </w:rPr>
        <w:t>принадлежащ</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Courier New" w:hAnsi="Times New Roman" w:cs="Times New Roman"/>
          <w:color w:val="000000"/>
          <w:sz w:val="24"/>
          <w:szCs w:val="24"/>
          <w:lang w:eastAsia="bg-BG"/>
        </w:rPr>
        <w:t>к</w:t>
      </w:r>
      <w:r w:rsidRPr="00BD5BB8">
        <w:rPr>
          <w:rFonts w:ascii="Times New Roman" w:eastAsia="Arial" w:hAnsi="Times New Roman" w:cs="Times New Roman"/>
          <w:color w:val="000000"/>
          <w:sz w:val="24"/>
          <w:szCs w:val="24"/>
          <w:lang w:eastAsia="bg-BG"/>
        </w:rPr>
        <w:t>ъм нов</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междунаро</w:t>
      </w:r>
      <w:r w:rsidRPr="00BD5BB8">
        <w:rPr>
          <w:rFonts w:ascii="Times New Roman" w:eastAsia="Times New Roman" w:hAnsi="Times New Roman" w:cs="Times New Roman"/>
          <w:color w:val="000000"/>
          <w:sz w:val="24"/>
          <w:szCs w:val="24"/>
          <w:lang w:eastAsia="bg-BG"/>
        </w:rPr>
        <w:t xml:space="preserve">дни </w:t>
      </w:r>
      <w:r w:rsidRPr="00BD5BB8">
        <w:rPr>
          <w:rFonts w:ascii="Times New Roman" w:eastAsia="Arial" w:hAnsi="Times New Roman" w:cs="Times New Roman"/>
          <w:color w:val="000000"/>
          <w:sz w:val="24"/>
          <w:szCs w:val="24"/>
          <w:lang w:eastAsia="bg-BG"/>
        </w:rPr>
        <w:t xml:space="preserve">непатентни наименования и </w:t>
      </w:r>
      <w:r w:rsidRPr="00BD5BB8">
        <w:rPr>
          <w:rFonts w:ascii="Times New Roman" w:eastAsia="Courier New" w:hAnsi="Times New Roman" w:cs="Times New Roman"/>
          <w:color w:val="000000"/>
          <w:sz w:val="24"/>
          <w:szCs w:val="24"/>
          <w:lang w:eastAsia="bg-BG"/>
        </w:rPr>
        <w:t xml:space="preserve">за </w:t>
      </w:r>
      <w:r w:rsidRPr="00BD5BB8">
        <w:rPr>
          <w:rFonts w:ascii="Times New Roman" w:eastAsia="Times New Roman" w:hAnsi="Times New Roman" w:cs="Times New Roman"/>
          <w:color w:val="000000"/>
          <w:sz w:val="24"/>
          <w:szCs w:val="24"/>
          <w:lang w:eastAsia="bg-BG"/>
        </w:rPr>
        <w:t>доб</w:t>
      </w:r>
      <w:r w:rsidRPr="00BD5BB8">
        <w:rPr>
          <w:rFonts w:ascii="Times New Roman" w:eastAsia="Arial" w:hAnsi="Times New Roman" w:cs="Times New Roman"/>
          <w:color w:val="000000"/>
          <w:sz w:val="24"/>
          <w:szCs w:val="24"/>
          <w:lang w:eastAsia="bg-BG"/>
        </w:rPr>
        <w:t>авя</w:t>
      </w:r>
      <w:r w:rsidRPr="00BD5BB8">
        <w:rPr>
          <w:rFonts w:ascii="Times New Roman" w:eastAsia="Times New Roman" w:hAnsi="Times New Roman" w:cs="Times New Roman"/>
          <w:color w:val="000000"/>
          <w:sz w:val="24"/>
          <w:szCs w:val="24"/>
          <w:lang w:eastAsia="bg-BG"/>
        </w:rPr>
        <w:t xml:space="preserve">не </w:t>
      </w:r>
      <w:r w:rsidRPr="00BD5BB8">
        <w:rPr>
          <w:rFonts w:ascii="Times New Roman" w:eastAsia="Arial"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н</w:t>
      </w:r>
      <w:r w:rsidRPr="00BD5BB8">
        <w:rPr>
          <w:rFonts w:ascii="Times New Roman" w:eastAsia="Times New Roman" w:hAnsi="Times New Roman" w:cs="Times New Roman"/>
          <w:color w:val="000000"/>
          <w:sz w:val="24"/>
          <w:szCs w:val="24"/>
          <w:lang w:eastAsia="bg-BG"/>
        </w:rPr>
        <w:t xml:space="preserve">ови </w:t>
      </w:r>
      <w:r w:rsidRPr="00BD5BB8">
        <w:rPr>
          <w:rFonts w:ascii="Times New Roman" w:eastAsia="Arial" w:hAnsi="Times New Roman" w:cs="Times New Roman"/>
          <w:color w:val="000000"/>
          <w:sz w:val="24"/>
          <w:szCs w:val="24"/>
          <w:lang w:eastAsia="bg-BG"/>
        </w:rPr>
        <w:t>терапевтич</w:t>
      </w:r>
      <w:r w:rsidRPr="00BD5BB8">
        <w:rPr>
          <w:rFonts w:ascii="Times New Roman" w:eastAsia="Times New Roman" w:hAnsi="Times New Roman" w:cs="Times New Roman"/>
          <w:color w:val="000000"/>
          <w:sz w:val="24"/>
          <w:szCs w:val="24"/>
          <w:lang w:eastAsia="bg-BG"/>
        </w:rPr>
        <w:t>ни по</w:t>
      </w:r>
      <w:r w:rsidRPr="00BD5BB8">
        <w:rPr>
          <w:rFonts w:ascii="Times New Roman" w:eastAsia="Arial" w:hAnsi="Times New Roman" w:cs="Times New Roman"/>
          <w:color w:val="000000"/>
          <w:sz w:val="24"/>
          <w:szCs w:val="24"/>
          <w:lang w:eastAsia="bg-BG"/>
        </w:rPr>
        <w:t>каза</w:t>
      </w:r>
      <w:r w:rsidRPr="00BD5BB8">
        <w:rPr>
          <w:rFonts w:ascii="Times New Roman" w:eastAsia="Times New Roman" w:hAnsi="Times New Roman" w:cs="Times New Roman"/>
          <w:color w:val="000000"/>
          <w:sz w:val="24"/>
          <w:szCs w:val="24"/>
          <w:lang w:eastAsia="bg-BG"/>
        </w:rPr>
        <w:t xml:space="preserve">ния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Times New Roman" w:hAnsi="Times New Roman" w:cs="Times New Roman"/>
          <w:color w:val="000000"/>
          <w:sz w:val="24"/>
          <w:szCs w:val="24"/>
          <w:lang w:eastAsia="bg-BG"/>
        </w:rPr>
        <w:t>л</w:t>
      </w:r>
      <w:r w:rsidRPr="00BD5BB8">
        <w:rPr>
          <w:rFonts w:ascii="Times New Roman" w:eastAsia="Arial" w:hAnsi="Times New Roman" w:cs="Times New Roman"/>
          <w:color w:val="000000"/>
          <w:sz w:val="24"/>
          <w:szCs w:val="24"/>
          <w:lang w:eastAsia="bg-BG"/>
        </w:rPr>
        <w:t>екарствените продукти, е извършена нормативна промяна като к</w:t>
      </w:r>
      <w:r w:rsidRPr="00BD5BB8">
        <w:rPr>
          <w:rFonts w:ascii="Times New Roman" w:eastAsia="Courier New" w:hAnsi="Times New Roman" w:cs="Times New Roman"/>
          <w:color w:val="000000"/>
          <w:sz w:val="24"/>
          <w:szCs w:val="24"/>
          <w:lang w:eastAsia="bg-BG"/>
        </w:rPr>
        <w:t xml:space="preserve">ъм </w:t>
      </w:r>
      <w:r w:rsidRPr="00BD5BB8">
        <w:rPr>
          <w:rFonts w:ascii="Times New Roman" w:eastAsia="Arial" w:hAnsi="Times New Roman" w:cs="Times New Roman"/>
          <w:color w:val="000000"/>
          <w:sz w:val="24"/>
          <w:szCs w:val="24"/>
          <w:lang w:eastAsia="bg-BG"/>
        </w:rPr>
        <w:t>функциите на НСЦРЛП с</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включени функции по оценка на здравните технологии. Чрез прилагане</w:t>
      </w:r>
      <w:r w:rsidRPr="00BD5BB8">
        <w:rPr>
          <w:rFonts w:ascii="Times New Roman" w:eastAsia="Courier New" w:hAnsi="Times New Roman" w:cs="Times New Roman"/>
          <w:color w:val="000000"/>
          <w:sz w:val="24"/>
          <w:szCs w:val="24"/>
          <w:lang w:eastAsia="bg-BG"/>
        </w:rPr>
        <w:t>т</w:t>
      </w:r>
      <w:r w:rsidRPr="00BD5BB8">
        <w:rPr>
          <w:rFonts w:ascii="Times New Roman" w:eastAsia="Times New Roman" w:hAnsi="Times New Roman" w:cs="Times New Roman"/>
          <w:color w:val="000000"/>
          <w:sz w:val="24"/>
          <w:szCs w:val="24"/>
          <w:lang w:eastAsia="bg-BG"/>
        </w:rPr>
        <w:t xml:space="preserve">о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законоустановената мярка – договаряне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отстъпки, въведена като мярка за осъществяване на контро</w:t>
      </w:r>
      <w:r w:rsidRPr="00BD5BB8">
        <w:rPr>
          <w:rFonts w:ascii="Times New Roman" w:eastAsia="Times New Roman" w:hAnsi="Times New Roman" w:cs="Times New Roman"/>
          <w:color w:val="000000"/>
          <w:sz w:val="24"/>
          <w:szCs w:val="24"/>
          <w:lang w:eastAsia="bg-BG"/>
        </w:rPr>
        <w:t xml:space="preserve">л на </w:t>
      </w:r>
      <w:r w:rsidRPr="00BD5BB8">
        <w:rPr>
          <w:rFonts w:ascii="Times New Roman" w:eastAsia="Arial" w:hAnsi="Times New Roman" w:cs="Times New Roman"/>
          <w:color w:val="000000"/>
          <w:sz w:val="24"/>
          <w:szCs w:val="24"/>
          <w:lang w:eastAsia="bg-BG"/>
        </w:rPr>
        <w:t xml:space="preserve">разходите на НЗОК се постигна ефективно </w:t>
      </w:r>
      <w:r w:rsidRPr="00BD5BB8">
        <w:rPr>
          <w:rFonts w:ascii="Times New Roman" w:eastAsia="Courier New" w:hAnsi="Times New Roman" w:cs="Times New Roman"/>
          <w:color w:val="000000"/>
          <w:sz w:val="24"/>
          <w:szCs w:val="24"/>
          <w:lang w:eastAsia="bg-BG"/>
        </w:rPr>
        <w:t>и к</w:t>
      </w:r>
      <w:r w:rsidRPr="00BD5BB8">
        <w:rPr>
          <w:rFonts w:ascii="Times New Roman" w:eastAsia="Arial" w:hAnsi="Times New Roman" w:cs="Times New Roman"/>
          <w:color w:val="000000"/>
          <w:sz w:val="24"/>
          <w:szCs w:val="24"/>
          <w:lang w:eastAsia="bg-BG"/>
        </w:rPr>
        <w:t xml:space="preserve">ачествено лечение </w:t>
      </w:r>
      <w:r w:rsidRPr="00BD5BB8">
        <w:rPr>
          <w:rFonts w:ascii="Times New Roman" w:eastAsia="Times New Roman"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по-голя</w:t>
      </w:r>
      <w:r w:rsidRPr="00BD5BB8">
        <w:rPr>
          <w:rFonts w:ascii="Times New Roman" w:eastAsia="Courier New" w:hAnsi="Times New Roman" w:cs="Times New Roman"/>
          <w:color w:val="000000"/>
          <w:sz w:val="24"/>
          <w:szCs w:val="24"/>
          <w:lang w:eastAsia="bg-BG"/>
        </w:rPr>
        <w:t xml:space="preserve">м </w:t>
      </w:r>
      <w:r w:rsidRPr="00BD5BB8">
        <w:rPr>
          <w:rFonts w:ascii="Times New Roman" w:eastAsia="Arial" w:hAnsi="Times New Roman" w:cs="Times New Roman"/>
          <w:color w:val="000000"/>
          <w:sz w:val="24"/>
          <w:szCs w:val="24"/>
          <w:lang w:eastAsia="bg-BG"/>
        </w:rPr>
        <w:t xml:space="preserve">брой здравноосигурени </w:t>
      </w:r>
      <w:r w:rsidRPr="00BD5BB8">
        <w:rPr>
          <w:rFonts w:ascii="Times New Roman" w:eastAsia="Times New Roman" w:hAnsi="Times New Roman" w:cs="Times New Roman"/>
          <w:color w:val="000000"/>
          <w:sz w:val="24"/>
          <w:szCs w:val="24"/>
          <w:lang w:eastAsia="bg-BG"/>
        </w:rPr>
        <w:t>ли</w:t>
      </w:r>
      <w:r w:rsidRPr="00BD5BB8">
        <w:rPr>
          <w:rFonts w:ascii="Times New Roman" w:eastAsia="Arial" w:hAnsi="Times New Roman" w:cs="Times New Roman"/>
          <w:color w:val="000000"/>
          <w:sz w:val="24"/>
          <w:szCs w:val="24"/>
          <w:lang w:eastAsia="bg-BG"/>
        </w:rPr>
        <w:t>ца. С извършените промени в Наредба №10 от 2009 г. за условията, реда, механизма и критериите за заплащане от НЗОК на лекарствени продукти, медицински изделия и на диетични храни за специални медицински цели, договаряне на отстъпки и прилагане на механизми, гарант</w:t>
      </w:r>
      <w:r w:rsidRPr="00BD5BB8">
        <w:rPr>
          <w:rFonts w:ascii="Times New Roman" w:eastAsia="Times New Roman" w:hAnsi="Times New Roman" w:cs="Times New Roman"/>
          <w:color w:val="000000"/>
          <w:sz w:val="24"/>
          <w:szCs w:val="24"/>
          <w:lang w:eastAsia="bg-BG"/>
        </w:rPr>
        <w:t>ир</w:t>
      </w:r>
      <w:r w:rsidRPr="00BD5BB8">
        <w:rPr>
          <w:rFonts w:ascii="Times New Roman" w:eastAsia="Arial" w:hAnsi="Times New Roman" w:cs="Times New Roman"/>
          <w:color w:val="000000"/>
          <w:sz w:val="24"/>
          <w:szCs w:val="24"/>
          <w:lang w:eastAsia="bg-BG"/>
        </w:rPr>
        <w:t xml:space="preserve">ащи предвидимост и устойчивост на бюджета на НЗОК се въвежда нов вид отстъпка в полза на пациента, която дава възможност на Притежателят на разрешение за употреба (ПРУ) </w:t>
      </w:r>
      <w:r w:rsidRPr="00BD5BB8">
        <w:rPr>
          <w:rFonts w:ascii="Times New Roman" w:eastAsia="Times New Roman" w:hAnsi="Times New Roman" w:cs="Times New Roman"/>
          <w:color w:val="000000"/>
          <w:sz w:val="24"/>
          <w:szCs w:val="24"/>
          <w:lang w:eastAsia="bg-BG"/>
        </w:rPr>
        <w:t>да п</w:t>
      </w:r>
      <w:r w:rsidRPr="00BD5BB8">
        <w:rPr>
          <w:rFonts w:ascii="Times New Roman" w:eastAsia="Arial" w:hAnsi="Times New Roman" w:cs="Times New Roman"/>
          <w:color w:val="000000"/>
          <w:sz w:val="24"/>
          <w:szCs w:val="24"/>
          <w:lang w:eastAsia="bg-BG"/>
        </w:rPr>
        <w:t>редоставя на фонда отстъпк</w:t>
      </w:r>
      <w:r w:rsidRPr="00BD5BB8">
        <w:rPr>
          <w:rFonts w:ascii="Times New Roman" w:eastAsia="Courier New" w:hAnsi="Times New Roman" w:cs="Times New Roman"/>
          <w:color w:val="000000"/>
          <w:sz w:val="24"/>
          <w:szCs w:val="24"/>
          <w:lang w:eastAsia="bg-BG"/>
        </w:rPr>
        <w:t>а 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частично реимбурсираните лекарствен</w:t>
      </w:r>
      <w:r w:rsidRPr="00BD5BB8">
        <w:rPr>
          <w:rFonts w:ascii="Times New Roman" w:eastAsia="Times New Roman" w:hAnsi="Times New Roman" w:cs="Times New Roman"/>
          <w:color w:val="000000"/>
          <w:sz w:val="24"/>
          <w:szCs w:val="24"/>
          <w:lang w:eastAsia="bg-BG"/>
        </w:rPr>
        <w:t>и про</w:t>
      </w:r>
      <w:r w:rsidRPr="00BD5BB8">
        <w:rPr>
          <w:rFonts w:ascii="Times New Roman" w:eastAsia="Arial" w:hAnsi="Times New Roman" w:cs="Times New Roman"/>
          <w:color w:val="000000"/>
          <w:sz w:val="24"/>
          <w:szCs w:val="24"/>
          <w:lang w:eastAsia="bg-BG"/>
        </w:rPr>
        <w:t>дукти, разпределена изцяло в полза на здравноосигуреното лице с оглед компенсиране на допла</w:t>
      </w:r>
      <w:r w:rsidRPr="00BD5BB8">
        <w:rPr>
          <w:rFonts w:ascii="Times New Roman" w:eastAsia="Times New Roman" w:hAnsi="Times New Roman" w:cs="Times New Roman"/>
          <w:color w:val="000000"/>
          <w:sz w:val="24"/>
          <w:szCs w:val="24"/>
          <w:lang w:eastAsia="bg-BG"/>
        </w:rPr>
        <w:t>щ</w:t>
      </w:r>
      <w:r w:rsidRPr="00BD5BB8">
        <w:rPr>
          <w:rFonts w:ascii="Times New Roman" w:eastAsia="Arial" w:hAnsi="Times New Roman" w:cs="Times New Roman"/>
          <w:color w:val="000000"/>
          <w:sz w:val="24"/>
          <w:szCs w:val="24"/>
          <w:lang w:eastAsia="bg-BG"/>
        </w:rPr>
        <w:t>ането.</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Създадена е пра</w:t>
      </w:r>
      <w:r w:rsidRPr="00BD5BB8">
        <w:rPr>
          <w:rFonts w:ascii="Times New Roman" w:eastAsia="Times New Roman" w:hAnsi="Times New Roman" w:cs="Times New Roman"/>
          <w:color w:val="000000"/>
          <w:sz w:val="24"/>
          <w:szCs w:val="24"/>
          <w:lang w:eastAsia="bg-BG"/>
        </w:rPr>
        <w:t xml:space="preserve">вна </w:t>
      </w:r>
      <w:r w:rsidRPr="00BD5BB8">
        <w:rPr>
          <w:rFonts w:ascii="Times New Roman" w:eastAsia="Arial" w:hAnsi="Times New Roman" w:cs="Times New Roman"/>
          <w:color w:val="000000"/>
          <w:sz w:val="24"/>
          <w:szCs w:val="24"/>
          <w:lang w:eastAsia="bg-BG"/>
        </w:rPr>
        <w:t>рамка 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заплащане от НЗОК на медицинск</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изделия за хората с увреждания. С оглед преодоляване на неравенствата и осигуряване на „базисна“ медицинска помо</w:t>
      </w:r>
      <w:r w:rsidRPr="00BD5BB8">
        <w:rPr>
          <w:rFonts w:ascii="Times New Roman" w:eastAsia="Times New Roman" w:hAnsi="Times New Roman" w:cs="Times New Roman"/>
          <w:color w:val="000000"/>
          <w:sz w:val="24"/>
          <w:szCs w:val="24"/>
          <w:lang w:eastAsia="bg-BG"/>
        </w:rPr>
        <w:t xml:space="preserve">щ за </w:t>
      </w:r>
      <w:r w:rsidRPr="00BD5BB8">
        <w:rPr>
          <w:rFonts w:ascii="Times New Roman" w:eastAsia="Arial" w:hAnsi="Times New Roman" w:cs="Times New Roman"/>
          <w:color w:val="000000"/>
          <w:sz w:val="24"/>
          <w:szCs w:val="24"/>
          <w:lang w:eastAsia="bg-BG"/>
        </w:rPr>
        <w:t>населението в м</w:t>
      </w:r>
      <w:r w:rsidRPr="00BD5BB8">
        <w:rPr>
          <w:rFonts w:ascii="Times New Roman" w:eastAsia="Times New Roman" w:hAnsi="Times New Roman" w:cs="Times New Roman"/>
          <w:color w:val="000000"/>
          <w:sz w:val="24"/>
          <w:szCs w:val="24"/>
          <w:lang w:eastAsia="bg-BG"/>
        </w:rPr>
        <w:t xml:space="preserve">алки </w:t>
      </w:r>
      <w:r w:rsidRPr="00BD5BB8">
        <w:rPr>
          <w:rFonts w:ascii="Times New Roman" w:eastAsia="Arial" w:hAnsi="Times New Roman" w:cs="Times New Roman"/>
          <w:color w:val="000000"/>
          <w:sz w:val="24"/>
          <w:szCs w:val="24"/>
          <w:lang w:eastAsia="bg-BG"/>
        </w:rPr>
        <w:t>населени места и труднодостъ</w:t>
      </w:r>
      <w:r w:rsidRPr="00BD5BB8">
        <w:rPr>
          <w:rFonts w:ascii="Times New Roman" w:eastAsia="Times New Roman" w:hAnsi="Times New Roman" w:cs="Times New Roman"/>
          <w:color w:val="000000"/>
          <w:sz w:val="24"/>
          <w:szCs w:val="24"/>
          <w:lang w:eastAsia="bg-BG"/>
        </w:rPr>
        <w:t xml:space="preserve">пни </w:t>
      </w:r>
      <w:r w:rsidRPr="00BD5BB8">
        <w:rPr>
          <w:rFonts w:ascii="Times New Roman" w:eastAsia="Arial" w:hAnsi="Times New Roman" w:cs="Times New Roman"/>
          <w:color w:val="000000"/>
          <w:sz w:val="24"/>
          <w:szCs w:val="24"/>
          <w:lang w:eastAsia="bg-BG"/>
        </w:rPr>
        <w:t>р</w:t>
      </w:r>
      <w:r w:rsidRPr="00BD5BB8">
        <w:rPr>
          <w:rFonts w:ascii="Times New Roman" w:eastAsia="Times New Roman" w:hAnsi="Times New Roman" w:cs="Times New Roman"/>
          <w:color w:val="000000"/>
          <w:sz w:val="24"/>
          <w:szCs w:val="24"/>
          <w:lang w:eastAsia="bg-BG"/>
        </w:rPr>
        <w:t>егиони и пр</w:t>
      </w:r>
      <w:r w:rsidRPr="00BD5BB8">
        <w:rPr>
          <w:rFonts w:ascii="Times New Roman" w:eastAsia="Arial" w:hAnsi="Times New Roman" w:cs="Times New Roman"/>
          <w:color w:val="000000"/>
          <w:sz w:val="24"/>
          <w:szCs w:val="24"/>
          <w:lang w:eastAsia="bg-BG"/>
        </w:rPr>
        <w:t>ез периода 2017-2018 г. продължа</w:t>
      </w:r>
      <w:r w:rsidRPr="00BD5BB8">
        <w:rPr>
          <w:rFonts w:ascii="Times New Roman" w:eastAsia="Times New Roman" w:hAnsi="Times New Roman" w:cs="Times New Roman"/>
          <w:color w:val="000000"/>
          <w:sz w:val="24"/>
          <w:szCs w:val="24"/>
          <w:lang w:eastAsia="bg-BG"/>
        </w:rPr>
        <w:t>ва фи</w:t>
      </w:r>
      <w:r w:rsidRPr="00BD5BB8">
        <w:rPr>
          <w:rFonts w:ascii="Times New Roman" w:eastAsia="Arial" w:hAnsi="Times New Roman" w:cs="Times New Roman"/>
          <w:color w:val="000000"/>
          <w:sz w:val="24"/>
          <w:szCs w:val="24"/>
          <w:lang w:eastAsia="bg-BG"/>
        </w:rPr>
        <w:t>нансирането на определени важни медицин</w:t>
      </w:r>
      <w:r w:rsidRPr="00BD5BB8">
        <w:rPr>
          <w:rFonts w:ascii="Times New Roman" w:eastAsia="Times New Roman" w:hAnsi="Times New Roman" w:cs="Times New Roman"/>
          <w:color w:val="000000"/>
          <w:sz w:val="24"/>
          <w:szCs w:val="24"/>
          <w:lang w:eastAsia="bg-BG"/>
        </w:rPr>
        <w:t>с</w:t>
      </w:r>
      <w:r w:rsidRPr="00BD5BB8">
        <w:rPr>
          <w:rFonts w:ascii="Times New Roman" w:eastAsia="Arial" w:hAnsi="Times New Roman" w:cs="Times New Roman"/>
          <w:color w:val="000000"/>
          <w:sz w:val="24"/>
          <w:szCs w:val="24"/>
          <w:lang w:eastAsia="bg-BG"/>
        </w:rPr>
        <w:t>ки дейности със средства по Методиката за субсидиран</w:t>
      </w:r>
      <w:r w:rsidRPr="00BD5BB8">
        <w:rPr>
          <w:rFonts w:ascii="Times New Roman" w:eastAsia="Courier New" w:hAnsi="Times New Roman" w:cs="Times New Roman"/>
          <w:color w:val="000000"/>
          <w:sz w:val="24"/>
          <w:szCs w:val="24"/>
          <w:lang w:eastAsia="bg-BG"/>
        </w:rPr>
        <w:t>е на л</w:t>
      </w:r>
      <w:r w:rsidRPr="00BD5BB8">
        <w:rPr>
          <w:rFonts w:ascii="Times New Roman" w:eastAsia="Arial" w:hAnsi="Times New Roman" w:cs="Times New Roman"/>
          <w:color w:val="000000"/>
          <w:sz w:val="24"/>
          <w:szCs w:val="24"/>
          <w:lang w:eastAsia="bg-BG"/>
        </w:rPr>
        <w:t>ечебн</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заведения. От Министерство на здравеопазването е изплатена субсидия за осъществяване на дейности извън обхвата на задължителното здравно осигуряване на общински лечебни заведения за болн</w:t>
      </w:r>
      <w:r w:rsidRPr="00BD5BB8">
        <w:rPr>
          <w:rFonts w:ascii="Times New Roman" w:eastAsia="Times New Roman" w:hAnsi="Times New Roman" w:cs="Times New Roman"/>
          <w:color w:val="000000"/>
          <w:sz w:val="24"/>
          <w:szCs w:val="24"/>
          <w:lang w:eastAsia="bg-BG"/>
        </w:rPr>
        <w:t xml:space="preserve">ична </w:t>
      </w:r>
      <w:r w:rsidRPr="00BD5BB8">
        <w:rPr>
          <w:rFonts w:ascii="Times New Roman" w:eastAsia="Arial" w:hAnsi="Times New Roman" w:cs="Times New Roman"/>
          <w:color w:val="000000"/>
          <w:sz w:val="24"/>
          <w:szCs w:val="24"/>
          <w:lang w:eastAsia="bg-BG"/>
        </w:rPr>
        <w:t xml:space="preserve">помощ, които се намират </w:t>
      </w:r>
      <w:r w:rsidRPr="00BD5BB8">
        <w:rPr>
          <w:rFonts w:ascii="Times New Roman" w:eastAsia="Courier New" w:hAnsi="Times New Roman" w:cs="Times New Roman"/>
          <w:color w:val="000000"/>
          <w:sz w:val="24"/>
          <w:szCs w:val="24"/>
          <w:lang w:eastAsia="bg-BG"/>
        </w:rPr>
        <w:t xml:space="preserve">в </w:t>
      </w:r>
      <w:r w:rsidRPr="00BD5BB8">
        <w:rPr>
          <w:rFonts w:ascii="Times New Roman" w:eastAsia="Arial" w:hAnsi="Times New Roman" w:cs="Times New Roman"/>
          <w:color w:val="000000"/>
          <w:sz w:val="24"/>
          <w:szCs w:val="24"/>
          <w:lang w:eastAsia="bg-BG"/>
        </w:rPr>
        <w:t>труднодостъпни и/или отдалечени райони на страната. Средстват</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Times New Roman" w:hAnsi="Times New Roman" w:cs="Times New Roman"/>
          <w:color w:val="000000"/>
          <w:sz w:val="24"/>
          <w:szCs w:val="24"/>
          <w:lang w:eastAsia="bg-BG"/>
        </w:rPr>
        <w:t>са п</w:t>
      </w:r>
      <w:r w:rsidRPr="00BD5BB8">
        <w:rPr>
          <w:rFonts w:ascii="Times New Roman" w:eastAsia="Arial" w:hAnsi="Times New Roman" w:cs="Times New Roman"/>
          <w:color w:val="000000"/>
          <w:sz w:val="24"/>
          <w:szCs w:val="24"/>
          <w:lang w:eastAsia="bg-BG"/>
        </w:rPr>
        <w:t>редоставе</w:t>
      </w:r>
      <w:r w:rsidRPr="00BD5BB8">
        <w:rPr>
          <w:rFonts w:ascii="Times New Roman" w:eastAsia="Times New Roman" w:hAnsi="Times New Roman" w:cs="Times New Roman"/>
          <w:color w:val="000000"/>
          <w:sz w:val="24"/>
          <w:szCs w:val="24"/>
          <w:lang w:eastAsia="bg-BG"/>
        </w:rPr>
        <w:t xml:space="preserve">ни за </w:t>
      </w:r>
      <w:r w:rsidRPr="00BD5BB8">
        <w:rPr>
          <w:rFonts w:ascii="Times New Roman" w:eastAsia="Arial" w:hAnsi="Times New Roman" w:cs="Times New Roman"/>
          <w:color w:val="000000"/>
          <w:sz w:val="24"/>
          <w:szCs w:val="24"/>
          <w:lang w:eastAsia="bg-BG"/>
        </w:rPr>
        <w:t>поддържан</w:t>
      </w:r>
      <w:r w:rsidRPr="00BD5BB8">
        <w:rPr>
          <w:rFonts w:ascii="Times New Roman" w:eastAsia="Courier New"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Times New Roman" w:hAnsi="Times New Roman" w:cs="Times New Roman"/>
          <w:color w:val="000000"/>
          <w:sz w:val="24"/>
          <w:szCs w:val="24"/>
          <w:lang w:eastAsia="bg-BG"/>
        </w:rPr>
        <w:t>кап</w:t>
      </w:r>
      <w:r w:rsidRPr="00BD5BB8">
        <w:rPr>
          <w:rFonts w:ascii="Times New Roman" w:eastAsia="Arial" w:hAnsi="Times New Roman" w:cs="Times New Roman"/>
          <w:color w:val="000000"/>
          <w:sz w:val="24"/>
          <w:szCs w:val="24"/>
          <w:lang w:eastAsia="bg-BG"/>
        </w:rPr>
        <w:t>ацитет</w:t>
      </w:r>
      <w:r w:rsidRPr="00BD5BB8">
        <w:rPr>
          <w:rFonts w:ascii="Times New Roman" w:eastAsia="Courier New" w:hAnsi="Times New Roman" w:cs="Times New Roman"/>
          <w:color w:val="000000"/>
          <w:sz w:val="24"/>
          <w:szCs w:val="24"/>
          <w:lang w:eastAsia="bg-BG"/>
        </w:rPr>
        <w:t xml:space="preserve">а на </w:t>
      </w:r>
      <w:r w:rsidRPr="00BD5BB8">
        <w:rPr>
          <w:rFonts w:ascii="Times New Roman" w:eastAsia="Arial" w:hAnsi="Times New Roman" w:cs="Times New Roman"/>
          <w:color w:val="000000"/>
          <w:sz w:val="24"/>
          <w:szCs w:val="24"/>
          <w:lang w:eastAsia="bg-BG"/>
        </w:rPr>
        <w:t>лечебните заведени</w:t>
      </w:r>
      <w:r w:rsidRPr="00BD5BB8">
        <w:rPr>
          <w:rFonts w:ascii="Times New Roman" w:eastAsia="Times New Roman" w:hAnsi="Times New Roman" w:cs="Times New Roman"/>
          <w:color w:val="000000"/>
          <w:sz w:val="24"/>
          <w:szCs w:val="24"/>
          <w:lang w:eastAsia="bg-BG"/>
        </w:rPr>
        <w:t xml:space="preserve">я и </w:t>
      </w:r>
      <w:r w:rsidRPr="00BD5BB8">
        <w:rPr>
          <w:rFonts w:ascii="Times New Roman" w:eastAsia="Arial" w:hAnsi="Times New Roman" w:cs="Times New Roman"/>
          <w:color w:val="000000"/>
          <w:sz w:val="24"/>
          <w:szCs w:val="24"/>
          <w:lang w:eastAsia="bg-BG"/>
        </w:rPr>
        <w:t>осигуряване н</w:t>
      </w:r>
      <w:r w:rsidRPr="00BD5BB8">
        <w:rPr>
          <w:rFonts w:ascii="Times New Roman" w:eastAsia="Times New Roman" w:hAnsi="Times New Roman" w:cs="Times New Roman"/>
          <w:color w:val="000000"/>
          <w:sz w:val="24"/>
          <w:szCs w:val="24"/>
          <w:lang w:eastAsia="bg-BG"/>
        </w:rPr>
        <w:t>а д</w:t>
      </w:r>
      <w:r w:rsidRPr="00BD5BB8">
        <w:rPr>
          <w:rFonts w:ascii="Times New Roman" w:eastAsia="Arial" w:hAnsi="Times New Roman" w:cs="Times New Roman"/>
          <w:color w:val="000000"/>
          <w:sz w:val="24"/>
          <w:szCs w:val="24"/>
          <w:lang w:eastAsia="bg-BG"/>
        </w:rPr>
        <w:t>иагностика и лече</w:t>
      </w:r>
      <w:r w:rsidRPr="00BD5BB8">
        <w:rPr>
          <w:rFonts w:ascii="Times New Roman" w:eastAsia="Times New Roman" w:hAnsi="Times New Roman" w:cs="Times New Roman"/>
          <w:color w:val="000000"/>
          <w:sz w:val="24"/>
          <w:szCs w:val="24"/>
          <w:lang w:eastAsia="bg-BG"/>
        </w:rPr>
        <w:t>ние на болн</w:t>
      </w:r>
      <w:r w:rsidRPr="00BD5BB8">
        <w:rPr>
          <w:rFonts w:ascii="Times New Roman" w:eastAsia="Arial" w:hAnsi="Times New Roman" w:cs="Times New Roman"/>
          <w:color w:val="000000"/>
          <w:sz w:val="24"/>
          <w:szCs w:val="24"/>
          <w:lang w:eastAsia="bg-BG"/>
        </w:rPr>
        <w:t>и, в т.ч. продължително лечение на пациенти със сърдечно-съдови, невролог</w:t>
      </w:r>
      <w:r w:rsidRPr="00BD5BB8">
        <w:rPr>
          <w:rFonts w:ascii="Times New Roman" w:eastAsia="Times New Roman" w:hAnsi="Times New Roman" w:cs="Times New Roman"/>
          <w:color w:val="000000"/>
          <w:sz w:val="24"/>
          <w:szCs w:val="24"/>
          <w:lang w:eastAsia="bg-BG"/>
        </w:rPr>
        <w:t>ичн</w:t>
      </w:r>
      <w:r w:rsidRPr="00BD5BB8">
        <w:rPr>
          <w:rFonts w:ascii="Times New Roman" w:eastAsia="Arial" w:hAnsi="Times New Roman" w:cs="Times New Roman"/>
          <w:color w:val="000000"/>
          <w:sz w:val="24"/>
          <w:szCs w:val="24"/>
          <w:lang w:eastAsia="bg-BG"/>
        </w:rPr>
        <w:t xml:space="preserve">и и белодробни заболявания. </w:t>
      </w:r>
    </w:p>
    <w:p w:rsidR="00DC12A3" w:rsidRPr="00BD5BB8" w:rsidRDefault="00DC12A3" w:rsidP="00DC12A3">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За подобряване качеството на живот и възможностите за социално включване на хората с увреждания и възрастните хора, чрез осигуряване н</w:t>
      </w:r>
      <w:r w:rsidRPr="00BD5BB8">
        <w:rPr>
          <w:rFonts w:ascii="Times New Roman" w:eastAsia="Times New Roman" w:hAnsi="Times New Roman" w:cs="Times New Roman"/>
          <w:color w:val="000000"/>
          <w:sz w:val="24"/>
          <w:szCs w:val="24"/>
          <w:lang w:eastAsia="bg-BG"/>
        </w:rPr>
        <w:t>а м</w:t>
      </w:r>
      <w:r w:rsidRPr="00BD5BB8">
        <w:rPr>
          <w:rFonts w:ascii="Times New Roman" w:eastAsia="Arial" w:hAnsi="Times New Roman" w:cs="Times New Roman"/>
          <w:color w:val="000000"/>
          <w:sz w:val="24"/>
          <w:szCs w:val="24"/>
          <w:lang w:eastAsia="bg-BG"/>
        </w:rPr>
        <w:t>режа от услуги в домашна ср</w:t>
      </w:r>
      <w:r w:rsidRPr="00BD5BB8">
        <w:rPr>
          <w:rFonts w:ascii="Times New Roman" w:eastAsia="Times New Roman" w:hAnsi="Times New Roman" w:cs="Times New Roman"/>
          <w:color w:val="000000"/>
          <w:sz w:val="24"/>
          <w:szCs w:val="24"/>
          <w:lang w:eastAsia="bg-BG"/>
        </w:rPr>
        <w:t>еда и и</w:t>
      </w:r>
      <w:r w:rsidRPr="00BD5BB8">
        <w:rPr>
          <w:rFonts w:ascii="Times New Roman" w:eastAsia="Arial" w:hAnsi="Times New Roman" w:cs="Times New Roman"/>
          <w:color w:val="000000"/>
          <w:sz w:val="24"/>
          <w:szCs w:val="24"/>
          <w:lang w:eastAsia="bg-BG"/>
        </w:rPr>
        <w:t>зграждане н</w:t>
      </w:r>
      <w:r w:rsidRPr="00BD5BB8">
        <w:rPr>
          <w:rFonts w:ascii="Times New Roman" w:eastAsia="Times New Roman" w:hAnsi="Times New Roman" w:cs="Times New Roman"/>
          <w:color w:val="000000"/>
          <w:sz w:val="24"/>
          <w:szCs w:val="24"/>
          <w:lang w:eastAsia="bg-BG"/>
        </w:rPr>
        <w:t>а п</w:t>
      </w:r>
      <w:r w:rsidRPr="00BD5BB8">
        <w:rPr>
          <w:rFonts w:ascii="Times New Roman" w:eastAsia="Arial" w:hAnsi="Times New Roman" w:cs="Times New Roman"/>
          <w:color w:val="000000"/>
          <w:sz w:val="24"/>
          <w:szCs w:val="24"/>
          <w:lang w:eastAsia="bg-BG"/>
        </w:rPr>
        <w:t>одходящ к</w:t>
      </w:r>
      <w:r w:rsidRPr="00BD5BB8">
        <w:rPr>
          <w:rFonts w:ascii="Times New Roman" w:eastAsia="Times New Roman" w:hAnsi="Times New Roman" w:cs="Times New Roman"/>
          <w:color w:val="000000"/>
          <w:sz w:val="24"/>
          <w:szCs w:val="24"/>
          <w:lang w:eastAsia="bg-BG"/>
        </w:rPr>
        <w:t>апа</w:t>
      </w:r>
      <w:r w:rsidRPr="00BD5BB8">
        <w:rPr>
          <w:rFonts w:ascii="Times New Roman" w:eastAsia="Arial" w:hAnsi="Times New Roman" w:cs="Times New Roman"/>
          <w:color w:val="000000"/>
          <w:sz w:val="24"/>
          <w:szCs w:val="24"/>
          <w:lang w:eastAsia="bg-BG"/>
        </w:rPr>
        <w:t>ците</w:t>
      </w:r>
      <w:r w:rsidRPr="00BD5BB8">
        <w:rPr>
          <w:rFonts w:ascii="Times New Roman" w:eastAsia="Times New Roman" w:hAnsi="Times New Roman" w:cs="Times New Roman"/>
          <w:color w:val="000000"/>
          <w:sz w:val="24"/>
          <w:szCs w:val="24"/>
          <w:lang w:eastAsia="bg-BG"/>
        </w:rPr>
        <w:t>т за пред</w:t>
      </w:r>
      <w:r w:rsidRPr="00BD5BB8">
        <w:rPr>
          <w:rFonts w:ascii="Times New Roman" w:eastAsia="Arial" w:hAnsi="Times New Roman" w:cs="Times New Roman"/>
          <w:color w:val="000000"/>
          <w:sz w:val="24"/>
          <w:szCs w:val="24"/>
          <w:lang w:eastAsia="bg-BG"/>
        </w:rPr>
        <w:t xml:space="preserve">оставянето </w:t>
      </w:r>
      <w:r w:rsidRPr="00BD5BB8">
        <w:rPr>
          <w:rFonts w:ascii="Times New Roman" w:eastAsia="Courier New" w:hAnsi="Times New Roman" w:cs="Times New Roman"/>
          <w:color w:val="000000"/>
          <w:sz w:val="24"/>
          <w:szCs w:val="24"/>
          <w:lang w:eastAsia="bg-BG"/>
        </w:rPr>
        <w:t xml:space="preserve">им, </w:t>
      </w:r>
      <w:r w:rsidRPr="00BD5BB8">
        <w:rPr>
          <w:rFonts w:ascii="Times New Roman" w:eastAsia="Times New Roman" w:hAnsi="Times New Roman" w:cs="Times New Roman"/>
          <w:color w:val="000000"/>
          <w:sz w:val="24"/>
          <w:szCs w:val="24"/>
          <w:lang w:eastAsia="bg-BG"/>
        </w:rPr>
        <w:t>ч</w:t>
      </w:r>
      <w:r w:rsidRPr="00BD5BB8">
        <w:rPr>
          <w:rFonts w:ascii="Times New Roman" w:eastAsia="Arial" w:hAnsi="Times New Roman" w:cs="Times New Roman"/>
          <w:color w:val="000000"/>
          <w:sz w:val="24"/>
          <w:szCs w:val="24"/>
          <w:lang w:eastAsia="bg-BG"/>
        </w:rPr>
        <w:t xml:space="preserve">рез въвеждане на модел за патронажни грижи за възрастни хора и лица с увреждания, </w:t>
      </w:r>
      <w:r w:rsidRPr="00BD5BB8">
        <w:rPr>
          <w:rFonts w:ascii="Times New Roman" w:eastAsia="Times New Roman" w:hAnsi="Times New Roman" w:cs="Times New Roman"/>
          <w:color w:val="000000"/>
          <w:sz w:val="24"/>
          <w:szCs w:val="24"/>
          <w:lang w:eastAsia="bg-BG"/>
        </w:rPr>
        <w:t>вкл</w:t>
      </w:r>
      <w:r w:rsidRPr="00BD5BB8">
        <w:rPr>
          <w:rFonts w:ascii="Times New Roman" w:eastAsia="Arial" w:hAnsi="Times New Roman" w:cs="Times New Roman"/>
          <w:color w:val="000000"/>
          <w:sz w:val="24"/>
          <w:szCs w:val="24"/>
          <w:lang w:eastAsia="bg-BG"/>
        </w:rPr>
        <w:t>. с хр</w:t>
      </w:r>
      <w:r w:rsidRPr="00BD5BB8">
        <w:rPr>
          <w:rFonts w:ascii="Times New Roman" w:eastAsia="Times New Roman" w:hAnsi="Times New Roman" w:cs="Times New Roman"/>
          <w:color w:val="000000"/>
          <w:sz w:val="24"/>
          <w:szCs w:val="24"/>
          <w:lang w:eastAsia="bg-BG"/>
        </w:rPr>
        <w:t xml:space="preserve">онични </w:t>
      </w:r>
      <w:r w:rsidRPr="00BD5BB8">
        <w:rPr>
          <w:rFonts w:ascii="Times New Roman" w:eastAsia="Arial" w:hAnsi="Times New Roman" w:cs="Times New Roman"/>
          <w:color w:val="000000"/>
          <w:sz w:val="24"/>
          <w:szCs w:val="24"/>
          <w:lang w:eastAsia="bg-BG"/>
        </w:rPr>
        <w:t xml:space="preserve">заболявания и трайни увреждания </w:t>
      </w:r>
      <w:r w:rsidRPr="00BD5BB8">
        <w:rPr>
          <w:rFonts w:ascii="Times New Roman" w:eastAsia="Times New Roman" w:hAnsi="Times New Roman" w:cs="Times New Roman"/>
          <w:color w:val="000000"/>
          <w:sz w:val="24"/>
          <w:szCs w:val="24"/>
          <w:lang w:eastAsia="bg-BG"/>
        </w:rPr>
        <w:t xml:space="preserve">за </w:t>
      </w:r>
      <w:r w:rsidRPr="00BD5BB8">
        <w:rPr>
          <w:rFonts w:ascii="Times New Roman" w:eastAsia="Arial" w:hAnsi="Times New Roman" w:cs="Times New Roman"/>
          <w:color w:val="000000"/>
          <w:sz w:val="24"/>
          <w:szCs w:val="24"/>
          <w:lang w:eastAsia="bg-BG"/>
        </w:rPr>
        <w:t>осигуряване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почасови мобилни интегриран</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здравно-социални ус</w:t>
      </w:r>
      <w:r w:rsidRPr="00BD5BB8">
        <w:rPr>
          <w:rFonts w:ascii="Times New Roman" w:eastAsia="Courier New" w:hAnsi="Times New Roman" w:cs="Times New Roman"/>
          <w:color w:val="000000"/>
          <w:sz w:val="24"/>
          <w:szCs w:val="24"/>
          <w:lang w:eastAsia="bg-BG"/>
        </w:rPr>
        <w:t>луг</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Courier New" w:hAnsi="Times New Roman" w:cs="Times New Roman"/>
          <w:color w:val="000000"/>
          <w:sz w:val="24"/>
          <w:szCs w:val="24"/>
          <w:lang w:eastAsia="bg-BG"/>
        </w:rPr>
        <w:t xml:space="preserve">в </w:t>
      </w:r>
      <w:r w:rsidRPr="00BD5BB8">
        <w:rPr>
          <w:rFonts w:ascii="Times New Roman" w:eastAsia="Arial" w:hAnsi="Times New Roman" w:cs="Times New Roman"/>
          <w:color w:val="000000"/>
          <w:sz w:val="24"/>
          <w:szCs w:val="24"/>
          <w:lang w:eastAsia="bg-BG"/>
        </w:rPr>
        <w:t>тех</w:t>
      </w:r>
      <w:r w:rsidRPr="00BD5BB8">
        <w:rPr>
          <w:rFonts w:ascii="Times New Roman" w:eastAsia="Courier New"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ите домове, Министерство</w:t>
      </w:r>
      <w:r w:rsidRPr="00BD5BB8">
        <w:rPr>
          <w:rFonts w:ascii="Times New Roman" w:eastAsia="Times New Roman" w:hAnsi="Times New Roman" w:cs="Times New Roman"/>
          <w:color w:val="000000"/>
          <w:sz w:val="24"/>
          <w:szCs w:val="24"/>
          <w:lang w:eastAsia="bg-BG"/>
        </w:rPr>
        <w:t xml:space="preserve">то на </w:t>
      </w:r>
      <w:r w:rsidRPr="00BD5BB8">
        <w:rPr>
          <w:rFonts w:ascii="Times New Roman" w:eastAsia="Arial" w:hAnsi="Times New Roman" w:cs="Times New Roman"/>
          <w:color w:val="000000"/>
          <w:sz w:val="24"/>
          <w:szCs w:val="24"/>
          <w:lang w:eastAsia="bg-BG"/>
        </w:rPr>
        <w:t>здравеопазването подгот</w:t>
      </w:r>
      <w:r w:rsidRPr="00BD5BB8">
        <w:rPr>
          <w:rFonts w:ascii="Times New Roman" w:eastAsia="Times New Roman" w:hAnsi="Times New Roman" w:cs="Times New Roman"/>
          <w:color w:val="000000"/>
          <w:sz w:val="24"/>
          <w:szCs w:val="24"/>
          <w:lang w:eastAsia="bg-BG"/>
        </w:rPr>
        <w:t>ви и п</w:t>
      </w:r>
      <w:r w:rsidRPr="00BD5BB8">
        <w:rPr>
          <w:rFonts w:ascii="Times New Roman" w:eastAsia="Arial" w:hAnsi="Times New Roman" w:cs="Times New Roman"/>
          <w:color w:val="000000"/>
          <w:sz w:val="24"/>
          <w:szCs w:val="24"/>
          <w:lang w:eastAsia="bg-BG"/>
        </w:rPr>
        <w:t>одаде з</w:t>
      </w:r>
      <w:r w:rsidRPr="00BD5BB8">
        <w:rPr>
          <w:rFonts w:ascii="Times New Roman" w:eastAsia="Times New Roman" w:hAnsi="Times New Roman" w:cs="Times New Roman"/>
          <w:color w:val="000000"/>
          <w:sz w:val="24"/>
          <w:szCs w:val="24"/>
          <w:lang w:eastAsia="bg-BG"/>
        </w:rPr>
        <w:t>а од</w:t>
      </w:r>
      <w:r w:rsidRPr="00BD5BB8">
        <w:rPr>
          <w:rFonts w:ascii="Times New Roman" w:eastAsia="Arial" w:hAnsi="Times New Roman" w:cs="Times New Roman"/>
          <w:color w:val="000000"/>
          <w:sz w:val="24"/>
          <w:szCs w:val="24"/>
          <w:lang w:eastAsia="bg-BG"/>
        </w:rPr>
        <w:t>обрение пред Управляващия ор</w:t>
      </w:r>
      <w:r w:rsidRPr="00BD5BB8">
        <w:rPr>
          <w:rFonts w:ascii="Times New Roman" w:eastAsia="Times New Roman" w:hAnsi="Times New Roman" w:cs="Times New Roman"/>
          <w:color w:val="000000"/>
          <w:sz w:val="24"/>
          <w:szCs w:val="24"/>
          <w:lang w:eastAsia="bg-BG"/>
        </w:rPr>
        <w:t>г</w:t>
      </w:r>
      <w:r w:rsidRPr="00BD5BB8">
        <w:rPr>
          <w:rFonts w:ascii="Times New Roman" w:eastAsia="Courier New" w:hAnsi="Times New Roman" w:cs="Times New Roman"/>
          <w:color w:val="000000"/>
          <w:sz w:val="24"/>
          <w:szCs w:val="24"/>
          <w:lang w:eastAsia="bg-BG"/>
        </w:rPr>
        <w:t xml:space="preserve">ан на </w:t>
      </w:r>
      <w:r w:rsidRPr="00BD5BB8">
        <w:rPr>
          <w:rFonts w:ascii="Times New Roman" w:eastAsia="Arial" w:hAnsi="Times New Roman" w:cs="Times New Roman"/>
          <w:color w:val="000000"/>
          <w:sz w:val="24"/>
          <w:szCs w:val="24"/>
          <w:lang w:eastAsia="bg-BG"/>
        </w:rPr>
        <w:t>Оперативна програма „Развитие на човешките ресурси“ 2014-2020 г. проектно предложение „Патронажна грижа за възрастни хора и лица с увреждания – Компонент 1” с прогнозна стойност 200 000.00 лв. В резултат от изп</w:t>
      </w:r>
      <w:r w:rsidRPr="00BD5BB8">
        <w:rPr>
          <w:rFonts w:ascii="Times New Roman" w:eastAsia="Times New Roman" w:hAnsi="Times New Roman" w:cs="Times New Roman"/>
          <w:color w:val="000000"/>
          <w:sz w:val="24"/>
          <w:szCs w:val="24"/>
          <w:lang w:eastAsia="bg-BG"/>
        </w:rPr>
        <w:t>ъл</w:t>
      </w:r>
      <w:r w:rsidRPr="00BD5BB8">
        <w:rPr>
          <w:rFonts w:ascii="Times New Roman" w:eastAsia="Arial" w:hAnsi="Times New Roman" w:cs="Times New Roman"/>
          <w:color w:val="000000"/>
          <w:sz w:val="24"/>
          <w:szCs w:val="24"/>
          <w:lang w:eastAsia="bg-BG"/>
        </w:rPr>
        <w:t>нението му се очаква да бъ</w:t>
      </w:r>
      <w:r w:rsidRPr="00BD5BB8">
        <w:rPr>
          <w:rFonts w:ascii="Times New Roman" w:eastAsia="Times New Roman" w:hAnsi="Times New Roman" w:cs="Times New Roman"/>
          <w:color w:val="000000"/>
          <w:sz w:val="24"/>
          <w:szCs w:val="24"/>
          <w:lang w:eastAsia="bg-BG"/>
        </w:rPr>
        <w:t>дат из</w:t>
      </w:r>
      <w:r w:rsidRPr="00BD5BB8">
        <w:rPr>
          <w:rFonts w:ascii="Times New Roman" w:eastAsia="Arial" w:hAnsi="Times New Roman" w:cs="Times New Roman"/>
          <w:color w:val="000000"/>
          <w:sz w:val="24"/>
          <w:szCs w:val="24"/>
          <w:lang w:eastAsia="bg-BG"/>
        </w:rPr>
        <w:t>готве</w:t>
      </w:r>
      <w:r w:rsidRPr="00BD5BB8">
        <w:rPr>
          <w:rFonts w:ascii="Times New Roman" w:eastAsia="Times New Roman" w:hAnsi="Times New Roman" w:cs="Times New Roman"/>
          <w:color w:val="000000"/>
          <w:sz w:val="24"/>
          <w:szCs w:val="24"/>
          <w:lang w:eastAsia="bg-BG"/>
        </w:rPr>
        <w:t>ни п</w:t>
      </w:r>
      <w:r w:rsidRPr="00BD5BB8">
        <w:rPr>
          <w:rFonts w:ascii="Times New Roman" w:eastAsia="Arial" w:hAnsi="Times New Roman" w:cs="Times New Roman"/>
          <w:color w:val="000000"/>
          <w:sz w:val="24"/>
          <w:szCs w:val="24"/>
          <w:lang w:eastAsia="bg-BG"/>
        </w:rPr>
        <w:t>рограми за специ</w:t>
      </w:r>
      <w:r w:rsidRPr="00BD5BB8">
        <w:rPr>
          <w:rFonts w:ascii="Times New Roman" w:eastAsia="Times New Roman" w:hAnsi="Times New Roman" w:cs="Times New Roman"/>
          <w:color w:val="000000"/>
          <w:sz w:val="24"/>
          <w:szCs w:val="24"/>
          <w:lang w:eastAsia="bg-BG"/>
        </w:rPr>
        <w:t>ф</w:t>
      </w:r>
      <w:r w:rsidRPr="00BD5BB8">
        <w:rPr>
          <w:rFonts w:ascii="Times New Roman" w:eastAsia="Arial" w:hAnsi="Times New Roman" w:cs="Times New Roman"/>
          <w:color w:val="000000"/>
          <w:sz w:val="24"/>
          <w:szCs w:val="24"/>
          <w:lang w:eastAsia="bg-BG"/>
        </w:rPr>
        <w:t>ично обу</w:t>
      </w:r>
      <w:r w:rsidRPr="00BD5BB8">
        <w:rPr>
          <w:rFonts w:ascii="Times New Roman" w:eastAsia="Times New Roman" w:hAnsi="Times New Roman" w:cs="Times New Roman"/>
          <w:color w:val="000000"/>
          <w:sz w:val="24"/>
          <w:szCs w:val="24"/>
          <w:lang w:eastAsia="bg-BG"/>
        </w:rPr>
        <w:t>ч</w:t>
      </w:r>
      <w:r w:rsidRPr="00BD5BB8">
        <w:rPr>
          <w:rFonts w:ascii="Times New Roman" w:eastAsia="Arial" w:hAnsi="Times New Roman" w:cs="Times New Roman"/>
          <w:color w:val="000000"/>
          <w:sz w:val="24"/>
          <w:szCs w:val="24"/>
          <w:lang w:eastAsia="bg-BG"/>
        </w:rPr>
        <w:t>ен</w:t>
      </w:r>
      <w:r w:rsidRPr="00BD5BB8">
        <w:rPr>
          <w:rFonts w:ascii="Times New Roman" w:eastAsia="Times New Roman" w:hAnsi="Times New Roman" w:cs="Times New Roman"/>
          <w:color w:val="000000"/>
          <w:sz w:val="24"/>
          <w:szCs w:val="24"/>
          <w:lang w:eastAsia="bg-BG"/>
        </w:rPr>
        <w:t xml:space="preserve">ие на </w:t>
      </w:r>
      <w:r w:rsidRPr="00BD5BB8">
        <w:rPr>
          <w:rFonts w:ascii="Times New Roman" w:eastAsia="Arial" w:hAnsi="Times New Roman" w:cs="Times New Roman"/>
          <w:color w:val="000000"/>
          <w:sz w:val="24"/>
          <w:szCs w:val="24"/>
          <w:lang w:eastAsia="bg-BG"/>
        </w:rPr>
        <w:t>медици</w:t>
      </w:r>
      <w:r w:rsidRPr="00BD5BB8">
        <w:rPr>
          <w:rFonts w:ascii="Times New Roman" w:eastAsia="Times New Roman"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 xml:space="preserve">ските специалисти и специалистите в областта на социалните услуги, които ще предоставят патронажните грижи, както и да се разработят методика за предоставяне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патронаж</w:t>
      </w:r>
      <w:r w:rsidRPr="00BD5BB8">
        <w:rPr>
          <w:rFonts w:ascii="Times New Roman" w:eastAsia="Times New Roman"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ата грижа и стандарт</w:t>
      </w:r>
      <w:r w:rsidRPr="00BD5BB8">
        <w:rPr>
          <w:rFonts w:ascii="Times New Roman" w:eastAsia="Times New Roman"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за ка</w:t>
      </w:r>
      <w:r w:rsidRPr="00BD5BB8">
        <w:rPr>
          <w:rFonts w:ascii="Times New Roman" w:eastAsia="Times New Roman" w:hAnsi="Times New Roman" w:cs="Times New Roman"/>
          <w:color w:val="000000"/>
          <w:sz w:val="24"/>
          <w:szCs w:val="24"/>
          <w:lang w:eastAsia="bg-BG"/>
        </w:rPr>
        <w:t>ч</w:t>
      </w:r>
      <w:r w:rsidRPr="00BD5BB8">
        <w:rPr>
          <w:rFonts w:ascii="Times New Roman" w:eastAsia="Arial" w:hAnsi="Times New Roman" w:cs="Times New Roman"/>
          <w:color w:val="000000"/>
          <w:sz w:val="24"/>
          <w:szCs w:val="24"/>
          <w:lang w:eastAsia="bg-BG"/>
        </w:rPr>
        <w:t xml:space="preserve">ество с цел предоставяне </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нов в</w:t>
      </w:r>
      <w:r w:rsidRPr="00BD5BB8">
        <w:rPr>
          <w:rFonts w:ascii="Times New Roman" w:eastAsia="Times New Roman" w:hAnsi="Times New Roman" w:cs="Times New Roman"/>
          <w:color w:val="000000"/>
          <w:sz w:val="24"/>
          <w:szCs w:val="24"/>
          <w:lang w:eastAsia="bg-BG"/>
        </w:rPr>
        <w:t>ид и</w:t>
      </w:r>
      <w:r w:rsidRPr="00BD5BB8">
        <w:rPr>
          <w:rFonts w:ascii="Times New Roman" w:eastAsia="Arial" w:hAnsi="Times New Roman" w:cs="Times New Roman"/>
          <w:color w:val="000000"/>
          <w:sz w:val="24"/>
          <w:szCs w:val="24"/>
          <w:lang w:eastAsia="bg-BG"/>
        </w:rPr>
        <w:t xml:space="preserve">нтегрирани здравно-социални услуги за дългосрочна грижа </w:t>
      </w:r>
      <w:r w:rsidRPr="00BD5BB8">
        <w:rPr>
          <w:rFonts w:ascii="Times New Roman" w:eastAsia="Courier New" w:hAnsi="Times New Roman" w:cs="Times New Roman"/>
          <w:color w:val="000000"/>
          <w:sz w:val="24"/>
          <w:szCs w:val="24"/>
          <w:lang w:eastAsia="bg-BG"/>
        </w:rPr>
        <w:t xml:space="preserve">в </w:t>
      </w:r>
      <w:r w:rsidRPr="00BD5BB8">
        <w:rPr>
          <w:rFonts w:ascii="Times New Roman" w:eastAsia="Arial" w:hAnsi="Times New Roman" w:cs="Times New Roman"/>
          <w:color w:val="000000"/>
          <w:sz w:val="24"/>
          <w:szCs w:val="24"/>
          <w:lang w:eastAsia="bg-BG"/>
        </w:rPr>
        <w:t>общността, като част от процес</w:t>
      </w:r>
      <w:r w:rsidRPr="00BD5BB8">
        <w:rPr>
          <w:rFonts w:ascii="Times New Roman" w:eastAsia="Courier New" w:hAnsi="Times New Roman" w:cs="Times New Roman"/>
          <w:color w:val="000000"/>
          <w:sz w:val="24"/>
          <w:szCs w:val="24"/>
          <w:lang w:eastAsia="bg-BG"/>
        </w:rPr>
        <w:t>а н</w:t>
      </w:r>
      <w:r w:rsidRPr="00BD5BB8">
        <w:rPr>
          <w:rFonts w:ascii="Times New Roman" w:eastAsia="Arial" w:hAnsi="Times New Roman" w:cs="Times New Roman"/>
          <w:color w:val="000000"/>
          <w:sz w:val="24"/>
          <w:szCs w:val="24"/>
          <w:lang w:eastAsia="bg-BG"/>
        </w:rPr>
        <w:t>а деинституционализация на грижата за хората с уреждания и възрастните хора.</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За осигуряване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равнопоставен достъп на гражданите до спешна медицинска помощ, в съответствие с </w:t>
      </w:r>
      <w:r w:rsidRPr="00BD5BB8">
        <w:rPr>
          <w:rFonts w:ascii="Times New Roman" w:eastAsia="Times New Roman" w:hAnsi="Times New Roman" w:cs="Times New Roman"/>
          <w:color w:val="000000"/>
          <w:sz w:val="24"/>
          <w:szCs w:val="24"/>
          <w:lang w:eastAsia="bg-BG"/>
        </w:rPr>
        <w:t>на</w:t>
      </w:r>
      <w:r w:rsidRPr="00BD5BB8">
        <w:rPr>
          <w:rFonts w:ascii="Times New Roman" w:eastAsia="Arial" w:hAnsi="Times New Roman" w:cs="Times New Roman"/>
          <w:color w:val="000000"/>
          <w:sz w:val="24"/>
          <w:szCs w:val="24"/>
          <w:lang w:eastAsia="bg-BG"/>
        </w:rPr>
        <w:t>й-</w:t>
      </w:r>
      <w:r w:rsidRPr="00BD5BB8">
        <w:rPr>
          <w:rFonts w:ascii="Times New Roman" w:eastAsia="Times New Roman" w:hAnsi="Times New Roman" w:cs="Times New Roman"/>
          <w:color w:val="000000"/>
          <w:sz w:val="24"/>
          <w:szCs w:val="24"/>
          <w:lang w:eastAsia="bg-BG"/>
        </w:rPr>
        <w:t>до</w:t>
      </w:r>
      <w:r w:rsidRPr="00BD5BB8">
        <w:rPr>
          <w:rFonts w:ascii="Times New Roman" w:eastAsia="Arial" w:hAnsi="Times New Roman" w:cs="Times New Roman"/>
          <w:color w:val="000000"/>
          <w:sz w:val="24"/>
          <w:szCs w:val="24"/>
          <w:lang w:eastAsia="bg-BG"/>
        </w:rPr>
        <w:t>брите европейс</w:t>
      </w:r>
      <w:r w:rsidRPr="00BD5BB8">
        <w:rPr>
          <w:rFonts w:ascii="Times New Roman" w:eastAsia="Times New Roman" w:hAnsi="Times New Roman" w:cs="Times New Roman"/>
          <w:color w:val="000000"/>
          <w:sz w:val="24"/>
          <w:szCs w:val="24"/>
          <w:lang w:eastAsia="bg-BG"/>
        </w:rPr>
        <w:t xml:space="preserve">ки </w:t>
      </w:r>
      <w:r w:rsidRPr="00BD5BB8">
        <w:rPr>
          <w:rFonts w:ascii="Times New Roman" w:eastAsia="Arial" w:hAnsi="Times New Roman" w:cs="Times New Roman"/>
          <w:color w:val="000000"/>
          <w:sz w:val="24"/>
          <w:szCs w:val="24"/>
          <w:lang w:eastAsia="bg-BG"/>
        </w:rPr>
        <w:t>практи</w:t>
      </w:r>
      <w:r w:rsidRPr="00BD5BB8">
        <w:rPr>
          <w:rFonts w:ascii="Times New Roman" w:eastAsia="Times New Roman" w:hAnsi="Times New Roman" w:cs="Times New Roman"/>
          <w:color w:val="000000"/>
          <w:sz w:val="24"/>
          <w:szCs w:val="24"/>
          <w:lang w:eastAsia="bg-BG"/>
        </w:rPr>
        <w:t>к</w:t>
      </w:r>
      <w:r w:rsidRPr="00BD5BB8">
        <w:rPr>
          <w:rFonts w:ascii="Times New Roman" w:eastAsia="Courier New" w:hAnsi="Times New Roman" w:cs="Times New Roman"/>
          <w:color w:val="000000"/>
          <w:sz w:val="24"/>
          <w:szCs w:val="24"/>
          <w:lang w:eastAsia="bg-BG"/>
        </w:rPr>
        <w:t>и и и</w:t>
      </w:r>
      <w:r w:rsidRPr="00BD5BB8">
        <w:rPr>
          <w:rFonts w:ascii="Times New Roman" w:eastAsia="Arial" w:hAnsi="Times New Roman" w:cs="Times New Roman"/>
          <w:color w:val="000000"/>
          <w:sz w:val="24"/>
          <w:szCs w:val="24"/>
          <w:lang w:eastAsia="bg-BG"/>
        </w:rPr>
        <w:t>зисквани</w:t>
      </w:r>
      <w:r w:rsidRPr="00BD5BB8">
        <w:rPr>
          <w:rFonts w:ascii="Times New Roman" w:eastAsia="Courier New" w:hAnsi="Times New Roman" w:cs="Times New Roman"/>
          <w:color w:val="000000"/>
          <w:sz w:val="24"/>
          <w:szCs w:val="24"/>
          <w:lang w:eastAsia="bg-BG"/>
        </w:rPr>
        <w:t xml:space="preserve">я за </w:t>
      </w:r>
      <w:r w:rsidRPr="00BD5BB8">
        <w:rPr>
          <w:rFonts w:ascii="Times New Roman" w:eastAsia="Arial" w:hAnsi="Times New Roman" w:cs="Times New Roman"/>
          <w:color w:val="000000"/>
          <w:sz w:val="24"/>
          <w:szCs w:val="24"/>
          <w:lang w:eastAsia="bg-BG"/>
        </w:rPr>
        <w:t xml:space="preserve">своевременност, достатъчност, качество и безопасност, през 2018 г. Министерството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здравеопазването подписа административния договор за изпълнението на голям инвестицион</w:t>
      </w:r>
      <w:r w:rsidRPr="00BD5BB8">
        <w:rPr>
          <w:rFonts w:ascii="Times New Roman" w:eastAsia="Times New Roman" w:hAnsi="Times New Roman" w:cs="Times New Roman"/>
          <w:color w:val="000000"/>
          <w:sz w:val="24"/>
          <w:szCs w:val="24"/>
          <w:lang w:eastAsia="bg-BG"/>
        </w:rPr>
        <w:t xml:space="preserve">ен </w:t>
      </w:r>
      <w:r w:rsidRPr="00BD5BB8">
        <w:rPr>
          <w:rFonts w:ascii="Times New Roman" w:eastAsia="Arial" w:hAnsi="Times New Roman" w:cs="Times New Roman"/>
          <w:color w:val="000000"/>
          <w:sz w:val="24"/>
          <w:szCs w:val="24"/>
          <w:lang w:eastAsia="bg-BG"/>
        </w:rPr>
        <w:t xml:space="preserve">проект BG16RFOP001-4.001-0001-C01 „Подкрепа </w:t>
      </w:r>
      <w:r w:rsidRPr="00BD5BB8">
        <w:rPr>
          <w:rFonts w:ascii="Times New Roman" w:eastAsia="Courier New" w:hAnsi="Times New Roman" w:cs="Times New Roman"/>
          <w:color w:val="000000"/>
          <w:sz w:val="24"/>
          <w:szCs w:val="24"/>
          <w:lang w:eastAsia="bg-BG"/>
        </w:rPr>
        <w:t>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р</w:t>
      </w:r>
      <w:r w:rsidRPr="00BD5BB8">
        <w:rPr>
          <w:rFonts w:ascii="Times New Roman" w:eastAsia="Times New Roman" w:hAnsi="Times New Roman" w:cs="Times New Roman"/>
          <w:color w:val="000000"/>
          <w:sz w:val="24"/>
          <w:szCs w:val="24"/>
          <w:lang w:eastAsia="bg-BG"/>
        </w:rPr>
        <w:t>аз</w:t>
      </w:r>
      <w:r w:rsidRPr="00BD5BB8">
        <w:rPr>
          <w:rFonts w:ascii="Times New Roman" w:eastAsia="Arial" w:hAnsi="Times New Roman" w:cs="Times New Roman"/>
          <w:color w:val="000000"/>
          <w:sz w:val="24"/>
          <w:szCs w:val="24"/>
          <w:lang w:eastAsia="bg-BG"/>
        </w:rPr>
        <w:t xml:space="preserve">витие на </w:t>
      </w:r>
      <w:r w:rsidRPr="00BD5BB8">
        <w:rPr>
          <w:rFonts w:ascii="Times New Roman" w:eastAsia="Arial" w:hAnsi="Times New Roman" w:cs="Times New Roman"/>
          <w:color w:val="000000"/>
          <w:sz w:val="24"/>
          <w:szCs w:val="24"/>
          <w:lang w:eastAsia="bg-BG"/>
        </w:rPr>
        <w:lastRenderedPageBreak/>
        <w:t>системат</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за спешна медицинск</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помощ“, финансир</w:t>
      </w:r>
      <w:r w:rsidRPr="00BD5BB8">
        <w:rPr>
          <w:rFonts w:ascii="Times New Roman" w:eastAsia="Times New Roman" w:hAnsi="Times New Roman" w:cs="Times New Roman"/>
          <w:color w:val="000000"/>
          <w:sz w:val="24"/>
          <w:szCs w:val="24"/>
          <w:lang w:eastAsia="bg-BG"/>
        </w:rPr>
        <w:t xml:space="preserve">ан </w:t>
      </w:r>
      <w:r w:rsidRPr="00BD5BB8">
        <w:rPr>
          <w:rFonts w:ascii="Times New Roman" w:eastAsia="Arial" w:hAnsi="Times New Roman" w:cs="Times New Roman"/>
          <w:color w:val="000000"/>
          <w:sz w:val="24"/>
          <w:szCs w:val="24"/>
          <w:lang w:eastAsia="bg-BG"/>
        </w:rPr>
        <w:t>п</w:t>
      </w:r>
      <w:r w:rsidRPr="00BD5BB8">
        <w:rPr>
          <w:rFonts w:ascii="Times New Roman" w:eastAsia="Courier New" w:hAnsi="Times New Roman" w:cs="Times New Roman"/>
          <w:color w:val="000000"/>
          <w:sz w:val="24"/>
          <w:szCs w:val="24"/>
          <w:lang w:eastAsia="bg-BG"/>
        </w:rPr>
        <w:t xml:space="preserve">о </w:t>
      </w:r>
      <w:r w:rsidRPr="00BD5BB8">
        <w:rPr>
          <w:rFonts w:ascii="Times New Roman" w:eastAsia="Arial" w:hAnsi="Times New Roman" w:cs="Times New Roman"/>
          <w:color w:val="000000"/>
          <w:sz w:val="24"/>
          <w:szCs w:val="24"/>
          <w:lang w:eastAsia="bg-BG"/>
        </w:rPr>
        <w:t xml:space="preserve">Оперативна програма „Региони </w:t>
      </w:r>
      <w:r w:rsidRPr="00BD5BB8">
        <w:rPr>
          <w:rFonts w:ascii="Times New Roman" w:eastAsia="Courier New" w:hAnsi="Times New Roman" w:cs="Times New Roman"/>
          <w:color w:val="000000"/>
          <w:sz w:val="24"/>
          <w:szCs w:val="24"/>
          <w:lang w:eastAsia="bg-BG"/>
        </w:rPr>
        <w:t xml:space="preserve">в </w:t>
      </w:r>
      <w:r w:rsidRPr="00BD5BB8">
        <w:rPr>
          <w:rFonts w:ascii="Times New Roman" w:eastAsia="Arial" w:hAnsi="Times New Roman" w:cs="Times New Roman"/>
          <w:color w:val="000000"/>
          <w:sz w:val="24"/>
          <w:szCs w:val="24"/>
          <w:lang w:eastAsia="bg-BG"/>
        </w:rPr>
        <w:t>растеж“ 2014-2020, на обща стойност 163 502 132.69 лв. В изпълнение дейностите ще бъде извършено обновяване и модерниза</w:t>
      </w:r>
      <w:r w:rsidRPr="00BD5BB8">
        <w:rPr>
          <w:rFonts w:ascii="Times New Roman" w:eastAsia="Times New Roman" w:hAnsi="Times New Roman" w:cs="Times New Roman"/>
          <w:color w:val="000000"/>
          <w:sz w:val="24"/>
          <w:szCs w:val="24"/>
          <w:lang w:eastAsia="bg-BG"/>
        </w:rPr>
        <w:t xml:space="preserve">ция на </w:t>
      </w:r>
      <w:r w:rsidRPr="00BD5BB8">
        <w:rPr>
          <w:rFonts w:ascii="Times New Roman" w:eastAsia="Arial" w:hAnsi="Times New Roman" w:cs="Times New Roman"/>
          <w:color w:val="000000"/>
          <w:sz w:val="24"/>
          <w:szCs w:val="24"/>
          <w:lang w:eastAsia="bg-BG"/>
        </w:rPr>
        <w:t>сград</w:t>
      </w:r>
      <w:r w:rsidRPr="00BD5BB8">
        <w:rPr>
          <w:rFonts w:ascii="Times New Roman" w:eastAsia="Times New Roman" w:hAnsi="Times New Roman" w:cs="Times New Roman"/>
          <w:color w:val="000000"/>
          <w:sz w:val="24"/>
          <w:szCs w:val="24"/>
          <w:lang w:eastAsia="bg-BG"/>
        </w:rPr>
        <w:t xml:space="preserve">ния </w:t>
      </w:r>
      <w:r w:rsidRPr="00BD5BB8">
        <w:rPr>
          <w:rFonts w:ascii="Times New Roman" w:eastAsia="Arial" w:hAnsi="Times New Roman" w:cs="Times New Roman"/>
          <w:color w:val="000000"/>
          <w:sz w:val="24"/>
          <w:szCs w:val="24"/>
          <w:lang w:eastAsia="bg-BG"/>
        </w:rPr>
        <w:t xml:space="preserve">фонд и оборудването в </w:t>
      </w:r>
      <w:r w:rsidRPr="00BD5BB8">
        <w:rPr>
          <w:rFonts w:ascii="Times New Roman" w:eastAsia="Courier New" w:hAnsi="Times New Roman" w:cs="Times New Roman"/>
          <w:color w:val="000000"/>
          <w:sz w:val="24"/>
          <w:szCs w:val="24"/>
          <w:lang w:eastAsia="bg-BG"/>
        </w:rPr>
        <w:t>с</w:t>
      </w:r>
      <w:r w:rsidRPr="00BD5BB8">
        <w:rPr>
          <w:rFonts w:ascii="Times New Roman" w:eastAsia="Arial" w:hAnsi="Times New Roman" w:cs="Times New Roman"/>
          <w:color w:val="000000"/>
          <w:sz w:val="24"/>
          <w:szCs w:val="24"/>
          <w:lang w:eastAsia="bg-BG"/>
        </w:rPr>
        <w:t>истемат</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на спешната помо</w:t>
      </w:r>
      <w:r w:rsidRPr="00BD5BB8">
        <w:rPr>
          <w:rFonts w:ascii="Times New Roman" w:eastAsia="Times New Roman" w:hAnsi="Times New Roman" w:cs="Times New Roman"/>
          <w:color w:val="000000"/>
          <w:sz w:val="24"/>
          <w:szCs w:val="24"/>
          <w:lang w:eastAsia="bg-BG"/>
        </w:rPr>
        <w:t xml:space="preserve">щ на </w:t>
      </w:r>
      <w:r w:rsidRPr="00BD5BB8">
        <w:rPr>
          <w:rFonts w:ascii="Times New Roman" w:eastAsia="Arial" w:hAnsi="Times New Roman" w:cs="Times New Roman"/>
          <w:color w:val="000000"/>
          <w:sz w:val="24"/>
          <w:szCs w:val="24"/>
          <w:lang w:eastAsia="bg-BG"/>
        </w:rPr>
        <w:t>тер</w:t>
      </w:r>
      <w:r w:rsidRPr="00BD5BB8">
        <w:rPr>
          <w:rFonts w:ascii="Times New Roman" w:eastAsia="Times New Roman" w:hAnsi="Times New Roman" w:cs="Times New Roman"/>
          <w:color w:val="000000"/>
          <w:sz w:val="24"/>
          <w:szCs w:val="24"/>
          <w:lang w:eastAsia="bg-BG"/>
        </w:rPr>
        <w:t>и</w:t>
      </w:r>
      <w:r w:rsidRPr="00BD5BB8">
        <w:rPr>
          <w:rFonts w:ascii="Times New Roman" w:eastAsia="Arial" w:hAnsi="Times New Roman" w:cs="Times New Roman"/>
          <w:color w:val="000000"/>
          <w:sz w:val="24"/>
          <w:szCs w:val="24"/>
          <w:lang w:eastAsia="bg-BG"/>
        </w:rPr>
        <w:t>торият</w:t>
      </w:r>
      <w:r w:rsidRPr="00BD5BB8">
        <w:rPr>
          <w:rFonts w:ascii="Times New Roman" w:eastAsia="Times New Roman" w:hAnsi="Times New Roman" w:cs="Times New Roman"/>
          <w:color w:val="000000"/>
          <w:sz w:val="24"/>
          <w:szCs w:val="24"/>
          <w:lang w:eastAsia="bg-BG"/>
        </w:rPr>
        <w:t xml:space="preserve">а на </w:t>
      </w:r>
      <w:r w:rsidRPr="00BD5BB8">
        <w:rPr>
          <w:rFonts w:ascii="Times New Roman" w:eastAsia="Arial" w:hAnsi="Times New Roman" w:cs="Times New Roman"/>
          <w:color w:val="000000"/>
          <w:sz w:val="24"/>
          <w:szCs w:val="24"/>
          <w:lang w:eastAsia="bg-BG"/>
        </w:rPr>
        <w:t>цялата страна – спешните отделени</w:t>
      </w:r>
      <w:r w:rsidRPr="00BD5BB8">
        <w:rPr>
          <w:rFonts w:ascii="Times New Roman" w:eastAsia="Courier New" w:hAnsi="Times New Roman" w:cs="Times New Roman"/>
          <w:color w:val="000000"/>
          <w:sz w:val="24"/>
          <w:szCs w:val="24"/>
          <w:lang w:eastAsia="bg-BG"/>
        </w:rPr>
        <w:t xml:space="preserve">я </w:t>
      </w:r>
      <w:r w:rsidRPr="00BD5BB8">
        <w:rPr>
          <w:rFonts w:ascii="Times New Roman" w:eastAsia="Arial" w:hAnsi="Times New Roman" w:cs="Times New Roman"/>
          <w:color w:val="000000"/>
          <w:sz w:val="24"/>
          <w:szCs w:val="24"/>
          <w:lang w:eastAsia="bg-BG"/>
        </w:rPr>
        <w:t>на 3</w:t>
      </w:r>
      <w:r w:rsidRPr="00BD5BB8">
        <w:rPr>
          <w:rFonts w:ascii="Times New Roman" w:eastAsia="Times New Roman" w:hAnsi="Times New Roman" w:cs="Times New Roman"/>
          <w:color w:val="000000"/>
          <w:sz w:val="24"/>
          <w:szCs w:val="24"/>
          <w:lang w:eastAsia="bg-BG"/>
        </w:rPr>
        <w:t>4 л</w:t>
      </w:r>
      <w:r w:rsidRPr="00BD5BB8">
        <w:rPr>
          <w:rFonts w:ascii="Times New Roman" w:eastAsia="Arial" w:hAnsi="Times New Roman" w:cs="Times New Roman"/>
          <w:color w:val="000000"/>
          <w:sz w:val="24"/>
          <w:szCs w:val="24"/>
          <w:lang w:eastAsia="bg-BG"/>
        </w:rPr>
        <w:t>ечебни заведени</w:t>
      </w:r>
      <w:r w:rsidRPr="00BD5BB8">
        <w:rPr>
          <w:rFonts w:ascii="Times New Roman" w:eastAsia="Times New Roman" w:hAnsi="Times New Roman" w:cs="Times New Roman"/>
          <w:color w:val="000000"/>
          <w:sz w:val="24"/>
          <w:szCs w:val="24"/>
          <w:lang w:eastAsia="bg-BG"/>
        </w:rPr>
        <w:t>я 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бол</w:t>
      </w:r>
      <w:r w:rsidRPr="00BD5BB8">
        <w:rPr>
          <w:rFonts w:ascii="Times New Roman" w:eastAsia="Times New Roman" w:hAnsi="Times New Roman" w:cs="Times New Roman"/>
          <w:color w:val="000000"/>
          <w:sz w:val="24"/>
          <w:szCs w:val="24"/>
          <w:lang w:eastAsia="bg-BG"/>
        </w:rPr>
        <w:t xml:space="preserve">нична </w:t>
      </w:r>
      <w:r w:rsidRPr="00BD5BB8">
        <w:rPr>
          <w:rFonts w:ascii="Times New Roman" w:eastAsia="Arial" w:hAnsi="Times New Roman" w:cs="Times New Roman"/>
          <w:color w:val="000000"/>
          <w:sz w:val="24"/>
          <w:szCs w:val="24"/>
          <w:lang w:eastAsia="bg-BG"/>
        </w:rPr>
        <w:t>помощ, 27 Център</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за спешна медицинска помощ (ЦСМII) и разкритите към тях 170 филиали (ФСМП) и 6 изнесе</w:t>
      </w:r>
      <w:r w:rsidRPr="00BD5BB8">
        <w:rPr>
          <w:rFonts w:ascii="Times New Roman" w:eastAsia="Courier New"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 xml:space="preserve">и </w:t>
      </w:r>
      <w:r w:rsidRPr="00BD5BB8">
        <w:rPr>
          <w:rFonts w:ascii="Times New Roman" w:eastAsia="Courier New" w:hAnsi="Times New Roman" w:cs="Times New Roman"/>
          <w:color w:val="000000"/>
          <w:sz w:val="24"/>
          <w:szCs w:val="24"/>
          <w:lang w:eastAsia="bg-BG"/>
        </w:rPr>
        <w:t>е</w:t>
      </w:r>
      <w:r w:rsidRPr="00BD5BB8">
        <w:rPr>
          <w:rFonts w:ascii="Times New Roman" w:eastAsia="Arial" w:hAnsi="Times New Roman" w:cs="Times New Roman"/>
          <w:color w:val="000000"/>
          <w:sz w:val="24"/>
          <w:szCs w:val="24"/>
          <w:lang w:eastAsia="bg-BG"/>
        </w:rPr>
        <w:t>кипа, както и придобиването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4</w:t>
      </w:r>
      <w:r w:rsidRPr="00BD5BB8">
        <w:rPr>
          <w:rFonts w:ascii="Times New Roman" w:eastAsia="Times New Roman" w:hAnsi="Times New Roman" w:cs="Times New Roman"/>
          <w:color w:val="000000"/>
          <w:sz w:val="24"/>
          <w:szCs w:val="24"/>
          <w:lang w:eastAsia="bg-BG"/>
        </w:rPr>
        <w:t xml:space="preserve">00 </w:t>
      </w:r>
      <w:r w:rsidRPr="00BD5BB8">
        <w:rPr>
          <w:rFonts w:ascii="Times New Roman" w:eastAsia="Courier New" w:hAnsi="Times New Roman" w:cs="Times New Roman"/>
          <w:color w:val="000000"/>
          <w:sz w:val="24"/>
          <w:szCs w:val="24"/>
          <w:lang w:eastAsia="bg-BG"/>
        </w:rPr>
        <w:t>б</w:t>
      </w:r>
      <w:r w:rsidRPr="00BD5BB8">
        <w:rPr>
          <w:rFonts w:ascii="Times New Roman" w:eastAsia="Arial" w:hAnsi="Times New Roman" w:cs="Times New Roman"/>
          <w:color w:val="000000"/>
          <w:sz w:val="24"/>
          <w:szCs w:val="24"/>
          <w:lang w:eastAsia="bg-BG"/>
        </w:rPr>
        <w:t xml:space="preserve">р. </w:t>
      </w:r>
      <w:r w:rsidRPr="00BD5BB8">
        <w:rPr>
          <w:rFonts w:ascii="Times New Roman" w:eastAsia="Times New Roman" w:hAnsi="Times New Roman" w:cs="Times New Roman"/>
          <w:color w:val="000000"/>
          <w:sz w:val="24"/>
          <w:szCs w:val="24"/>
          <w:lang w:eastAsia="bg-BG"/>
        </w:rPr>
        <w:t>нови</w:t>
      </w:r>
      <w:r w:rsidRPr="00BD5BB8">
        <w:rPr>
          <w:rFonts w:ascii="Times New Roman" w:eastAsia="Arial" w:hAnsi="Times New Roman" w:cs="Times New Roman"/>
          <w:color w:val="000000"/>
          <w:sz w:val="24"/>
          <w:szCs w:val="24"/>
          <w:lang w:eastAsia="bg-BG"/>
        </w:rPr>
        <w:t>, оборуд</w:t>
      </w:r>
      <w:r w:rsidRPr="00BD5BB8">
        <w:rPr>
          <w:rFonts w:ascii="Times New Roman" w:eastAsia="Times New Roman" w:hAnsi="Times New Roman" w:cs="Times New Roman"/>
          <w:color w:val="000000"/>
          <w:sz w:val="24"/>
          <w:szCs w:val="24"/>
          <w:lang w:eastAsia="bg-BG"/>
        </w:rPr>
        <w:t xml:space="preserve">вани </w:t>
      </w:r>
      <w:r w:rsidRPr="00BD5BB8">
        <w:rPr>
          <w:rFonts w:ascii="Times New Roman" w:eastAsia="Arial" w:hAnsi="Times New Roman" w:cs="Times New Roman"/>
          <w:color w:val="000000"/>
          <w:sz w:val="24"/>
          <w:szCs w:val="24"/>
          <w:lang w:eastAsia="bg-BG"/>
        </w:rPr>
        <w:t>медицински превозни средства (линейки). През 2018 г. са сключени договори за доставка на общо 280 бр. линей</w:t>
      </w:r>
      <w:r w:rsidRPr="00BD5BB8">
        <w:rPr>
          <w:rFonts w:ascii="Times New Roman" w:eastAsia="Times New Roman" w:hAnsi="Times New Roman" w:cs="Times New Roman"/>
          <w:color w:val="000000"/>
          <w:sz w:val="24"/>
          <w:szCs w:val="24"/>
          <w:lang w:eastAsia="bg-BG"/>
        </w:rPr>
        <w:t xml:space="preserve">ки тип </w:t>
      </w:r>
      <w:r w:rsidRPr="00BD5BB8">
        <w:rPr>
          <w:rFonts w:ascii="Times New Roman" w:eastAsia="Arial" w:hAnsi="Times New Roman" w:cs="Times New Roman"/>
          <w:color w:val="000000"/>
          <w:sz w:val="24"/>
          <w:szCs w:val="24"/>
          <w:lang w:eastAsia="bg-BG"/>
        </w:rPr>
        <w:t>В и тип С, като до 31.12.2018 г. са приети и предоставени за нуждите на ЦСМП – София 1 бр. линейка тип В и 1 бр. линейка тип С.</w:t>
      </w:r>
    </w:p>
    <w:p w:rsidR="00DC12A3" w:rsidRPr="00BD5BB8" w:rsidRDefault="00DC12A3" w:rsidP="00DC12A3">
      <w:pPr>
        <w:widowControl w:val="0"/>
        <w:pBdr>
          <w:top w:val="nil"/>
          <w:left w:val="nil"/>
          <w:bottom w:val="nil"/>
          <w:right w:val="nil"/>
          <w:between w:val="nil"/>
        </w:pBdr>
        <w:spacing w:after="0" w:line="240" w:lineRule="auto"/>
        <w:ind w:firstLine="720"/>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От съществе</w:t>
      </w:r>
      <w:r w:rsidRPr="00BD5BB8">
        <w:rPr>
          <w:rFonts w:ascii="Times New Roman" w:eastAsia="Times New Roman" w:hAnsi="Times New Roman" w:cs="Times New Roman"/>
          <w:color w:val="000000"/>
          <w:sz w:val="24"/>
          <w:szCs w:val="24"/>
          <w:lang w:eastAsia="bg-BG"/>
        </w:rPr>
        <w:t xml:space="preserve">но </w:t>
      </w:r>
      <w:r w:rsidRPr="00BD5BB8">
        <w:rPr>
          <w:rFonts w:ascii="Times New Roman" w:eastAsia="Arial" w:hAnsi="Times New Roman" w:cs="Times New Roman"/>
          <w:color w:val="000000"/>
          <w:sz w:val="24"/>
          <w:szCs w:val="24"/>
          <w:lang w:eastAsia="bg-BG"/>
        </w:rPr>
        <w:t>значение както за системат</w:t>
      </w:r>
      <w:r w:rsidRPr="00BD5BB8">
        <w:rPr>
          <w:rFonts w:ascii="Times New Roman" w:eastAsia="Times New Roman" w:hAnsi="Times New Roman" w:cs="Times New Roman"/>
          <w:color w:val="000000"/>
          <w:sz w:val="24"/>
          <w:szCs w:val="24"/>
          <w:lang w:eastAsia="bg-BG"/>
        </w:rPr>
        <w:t>а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здравеопазването, та</w:t>
      </w:r>
      <w:r w:rsidRPr="00BD5BB8">
        <w:rPr>
          <w:rFonts w:ascii="Times New Roman" w:eastAsia="Courier New" w:hAnsi="Times New Roman" w:cs="Times New Roman"/>
          <w:color w:val="000000"/>
          <w:sz w:val="24"/>
          <w:szCs w:val="24"/>
          <w:lang w:eastAsia="bg-BG"/>
        </w:rPr>
        <w:t xml:space="preserve">ка и </w:t>
      </w:r>
      <w:r w:rsidRPr="00BD5BB8">
        <w:rPr>
          <w:rFonts w:ascii="Times New Roman" w:eastAsia="Arial" w:hAnsi="Times New Roman" w:cs="Times New Roman"/>
          <w:color w:val="000000"/>
          <w:sz w:val="24"/>
          <w:szCs w:val="24"/>
          <w:lang w:eastAsia="bg-BG"/>
        </w:rPr>
        <w:t xml:space="preserve">за обществото, е обучените в България медицински специалисти да бъдат мотивирани да останат и да се развиват в страната. Създаването </w:t>
      </w:r>
      <w:r w:rsidRPr="00BD5BB8">
        <w:rPr>
          <w:rFonts w:ascii="Times New Roman" w:eastAsia="Times New Roman" w:hAnsi="Times New Roman" w:cs="Times New Roman"/>
          <w:color w:val="000000"/>
          <w:sz w:val="24"/>
          <w:szCs w:val="24"/>
          <w:lang w:eastAsia="bg-BG"/>
        </w:rPr>
        <w:t>на въ</w:t>
      </w:r>
      <w:r w:rsidRPr="00BD5BB8">
        <w:rPr>
          <w:rFonts w:ascii="Times New Roman" w:eastAsia="Arial" w:hAnsi="Times New Roman" w:cs="Times New Roman"/>
          <w:color w:val="000000"/>
          <w:sz w:val="24"/>
          <w:szCs w:val="24"/>
          <w:lang w:eastAsia="bg-BG"/>
        </w:rPr>
        <w:t>зможности за професио</w:t>
      </w:r>
      <w:r w:rsidRPr="00BD5BB8">
        <w:rPr>
          <w:rFonts w:ascii="Times New Roman" w:eastAsia="Times New Roman" w:hAnsi="Times New Roman" w:cs="Times New Roman"/>
          <w:color w:val="000000"/>
          <w:sz w:val="24"/>
          <w:szCs w:val="24"/>
          <w:lang w:eastAsia="bg-BG"/>
        </w:rPr>
        <w:t>на</w:t>
      </w:r>
      <w:r w:rsidRPr="00BD5BB8">
        <w:rPr>
          <w:rFonts w:ascii="Times New Roman" w:eastAsia="Arial" w:hAnsi="Times New Roman" w:cs="Times New Roman"/>
          <w:color w:val="000000"/>
          <w:sz w:val="24"/>
          <w:szCs w:val="24"/>
          <w:lang w:eastAsia="bg-BG"/>
        </w:rPr>
        <w:t>л</w:t>
      </w:r>
      <w:r w:rsidRPr="00BD5BB8">
        <w:rPr>
          <w:rFonts w:ascii="Times New Roman" w:eastAsia="Times New Roman" w:hAnsi="Times New Roman" w:cs="Times New Roman"/>
          <w:color w:val="000000"/>
          <w:sz w:val="24"/>
          <w:szCs w:val="24"/>
          <w:lang w:eastAsia="bg-BG"/>
        </w:rPr>
        <w:t xml:space="preserve">но </w:t>
      </w:r>
      <w:r w:rsidRPr="00BD5BB8">
        <w:rPr>
          <w:rFonts w:ascii="Times New Roman" w:eastAsia="Arial" w:hAnsi="Times New Roman" w:cs="Times New Roman"/>
          <w:color w:val="000000"/>
          <w:sz w:val="24"/>
          <w:szCs w:val="24"/>
          <w:lang w:eastAsia="bg-BG"/>
        </w:rPr>
        <w:t>развитие е приоритет за Министерството на здравеопазването. С Наредба №1 от 2015 г. за придобиване на специалност в системата на здравеопазването беше осъществена кон</w:t>
      </w:r>
      <w:r w:rsidRPr="00BD5BB8">
        <w:rPr>
          <w:rFonts w:ascii="Times New Roman" w:eastAsia="Times New Roman" w:hAnsi="Times New Roman" w:cs="Times New Roman"/>
          <w:color w:val="000000"/>
          <w:sz w:val="24"/>
          <w:szCs w:val="24"/>
          <w:lang w:eastAsia="bg-BG"/>
        </w:rPr>
        <w:t>ц</w:t>
      </w:r>
      <w:r w:rsidRPr="00BD5BB8">
        <w:rPr>
          <w:rFonts w:ascii="Times New Roman" w:eastAsia="Arial" w:hAnsi="Times New Roman" w:cs="Times New Roman"/>
          <w:color w:val="000000"/>
          <w:sz w:val="24"/>
          <w:szCs w:val="24"/>
          <w:lang w:eastAsia="bg-BG"/>
        </w:rPr>
        <w:t>ептуал</w:t>
      </w:r>
      <w:r w:rsidRPr="00BD5BB8">
        <w:rPr>
          <w:rFonts w:ascii="Times New Roman" w:eastAsia="Times New Roman"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промяна в реда и условията за специализация – </w:t>
      </w:r>
      <w:r w:rsidRPr="00BD5BB8">
        <w:rPr>
          <w:rFonts w:ascii="Times New Roman" w:eastAsia="Times New Roman" w:hAnsi="Times New Roman" w:cs="Times New Roman"/>
          <w:color w:val="000000"/>
          <w:sz w:val="24"/>
          <w:szCs w:val="24"/>
          <w:lang w:eastAsia="bg-BG"/>
        </w:rPr>
        <w:t>знач</w:t>
      </w:r>
      <w:r w:rsidRPr="00BD5BB8">
        <w:rPr>
          <w:rFonts w:ascii="Times New Roman" w:eastAsia="Arial" w:hAnsi="Times New Roman" w:cs="Times New Roman"/>
          <w:color w:val="000000"/>
          <w:sz w:val="24"/>
          <w:szCs w:val="24"/>
          <w:lang w:eastAsia="bg-BG"/>
        </w:rPr>
        <w:t>ително се облекчи достъпът и се подобрих</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условията за специализация. 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периода </w:t>
      </w:r>
      <w:r w:rsidRPr="00BD5BB8">
        <w:rPr>
          <w:rFonts w:ascii="Times New Roman" w:eastAsia="Times New Roman" w:hAnsi="Times New Roman" w:cs="Times New Roman"/>
          <w:color w:val="000000"/>
          <w:sz w:val="24"/>
          <w:szCs w:val="24"/>
          <w:lang w:eastAsia="bg-BG"/>
        </w:rPr>
        <w:t>на де</w:t>
      </w:r>
      <w:r w:rsidRPr="00BD5BB8">
        <w:rPr>
          <w:rFonts w:ascii="Times New Roman" w:eastAsia="Arial" w:hAnsi="Times New Roman" w:cs="Times New Roman"/>
          <w:color w:val="000000"/>
          <w:sz w:val="24"/>
          <w:szCs w:val="24"/>
          <w:lang w:eastAsia="bg-BG"/>
        </w:rPr>
        <w:t>йствието си Наредба №1 се доказа като една успешна стъпк</w:t>
      </w:r>
      <w:r w:rsidRPr="00BD5BB8">
        <w:rPr>
          <w:rFonts w:ascii="Times New Roman" w:eastAsia="Times New Roman" w:hAnsi="Times New Roman" w:cs="Times New Roman"/>
          <w:color w:val="000000"/>
          <w:sz w:val="24"/>
          <w:szCs w:val="24"/>
          <w:lang w:eastAsia="bg-BG"/>
        </w:rPr>
        <w:t xml:space="preserve">а към </w:t>
      </w:r>
      <w:r w:rsidRPr="00BD5BB8">
        <w:rPr>
          <w:rFonts w:ascii="Times New Roman" w:eastAsia="Arial" w:hAnsi="Times New Roman" w:cs="Times New Roman"/>
          <w:color w:val="000000"/>
          <w:sz w:val="24"/>
          <w:szCs w:val="24"/>
          <w:lang w:eastAsia="bg-BG"/>
        </w:rPr>
        <w:t xml:space="preserve">по-добре </w:t>
      </w:r>
      <w:r w:rsidRPr="00BD5BB8">
        <w:rPr>
          <w:rFonts w:ascii="Times New Roman" w:eastAsia="Times New Roman" w:hAnsi="Times New Roman" w:cs="Times New Roman"/>
          <w:color w:val="000000"/>
          <w:sz w:val="24"/>
          <w:szCs w:val="24"/>
          <w:lang w:eastAsia="bg-BG"/>
        </w:rPr>
        <w:t>ф</w:t>
      </w:r>
      <w:r w:rsidRPr="00BD5BB8">
        <w:rPr>
          <w:rFonts w:ascii="Times New Roman" w:eastAsia="Arial" w:hAnsi="Times New Roman" w:cs="Times New Roman"/>
          <w:color w:val="000000"/>
          <w:sz w:val="24"/>
          <w:szCs w:val="24"/>
          <w:lang w:eastAsia="bg-BG"/>
        </w:rPr>
        <w:t>ункционираща система 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специализаци</w:t>
      </w:r>
      <w:r w:rsidRPr="00BD5BB8">
        <w:rPr>
          <w:rFonts w:ascii="Times New Roman" w:eastAsia="Times New Roman" w:hAnsi="Times New Roman" w:cs="Times New Roman"/>
          <w:color w:val="000000"/>
          <w:sz w:val="24"/>
          <w:szCs w:val="24"/>
          <w:lang w:eastAsia="bg-BG"/>
        </w:rPr>
        <w:t>я и с</w:t>
      </w:r>
      <w:r w:rsidRPr="00BD5BB8">
        <w:rPr>
          <w:rFonts w:ascii="Times New Roman" w:eastAsia="Arial" w:hAnsi="Times New Roman" w:cs="Times New Roman"/>
          <w:color w:val="000000"/>
          <w:sz w:val="24"/>
          <w:szCs w:val="24"/>
          <w:lang w:eastAsia="bg-BG"/>
        </w:rPr>
        <w:t>ъответ</w:t>
      </w:r>
      <w:r w:rsidRPr="00BD5BB8">
        <w:rPr>
          <w:rFonts w:ascii="Times New Roman" w:eastAsia="Times New Roman" w:hAnsi="Times New Roman" w:cs="Times New Roman"/>
          <w:color w:val="000000"/>
          <w:sz w:val="24"/>
          <w:szCs w:val="24"/>
          <w:lang w:eastAsia="bg-BG"/>
        </w:rPr>
        <w:t>но къ</w:t>
      </w:r>
      <w:r w:rsidRPr="00BD5BB8">
        <w:rPr>
          <w:rFonts w:ascii="Times New Roman" w:eastAsia="Courier New" w:hAnsi="Times New Roman" w:cs="Times New Roman"/>
          <w:color w:val="000000"/>
          <w:sz w:val="24"/>
          <w:szCs w:val="24"/>
          <w:lang w:eastAsia="bg-BG"/>
        </w:rPr>
        <w:t xml:space="preserve">м </w:t>
      </w:r>
      <w:r w:rsidRPr="00BD5BB8">
        <w:rPr>
          <w:rFonts w:ascii="Times New Roman" w:eastAsia="Arial" w:hAnsi="Times New Roman" w:cs="Times New Roman"/>
          <w:color w:val="000000"/>
          <w:sz w:val="24"/>
          <w:szCs w:val="24"/>
          <w:lang w:eastAsia="bg-BG"/>
        </w:rPr>
        <w:t>задържане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младит</w:t>
      </w:r>
      <w:r w:rsidRPr="00BD5BB8">
        <w:rPr>
          <w:rFonts w:ascii="Times New Roman" w:eastAsia="Times New Roman" w:hAnsi="Times New Roman" w:cs="Times New Roman"/>
          <w:color w:val="000000"/>
          <w:sz w:val="24"/>
          <w:szCs w:val="24"/>
          <w:lang w:eastAsia="bg-BG"/>
        </w:rPr>
        <w:t>е л</w:t>
      </w:r>
      <w:r w:rsidRPr="00BD5BB8">
        <w:rPr>
          <w:rFonts w:ascii="Times New Roman" w:eastAsia="Arial" w:hAnsi="Times New Roman" w:cs="Times New Roman"/>
          <w:color w:val="000000"/>
          <w:sz w:val="24"/>
          <w:szCs w:val="24"/>
          <w:lang w:eastAsia="bg-BG"/>
        </w:rPr>
        <w:t>ека</w:t>
      </w:r>
      <w:r w:rsidRPr="00BD5BB8">
        <w:rPr>
          <w:rFonts w:ascii="Times New Roman" w:eastAsia="Times New Roman" w:hAnsi="Times New Roman" w:cs="Times New Roman"/>
          <w:color w:val="000000"/>
          <w:sz w:val="24"/>
          <w:szCs w:val="24"/>
          <w:lang w:eastAsia="bg-BG"/>
        </w:rPr>
        <w:t xml:space="preserve">ри </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други медицински специалис</w:t>
      </w:r>
      <w:r w:rsidRPr="00BD5BB8">
        <w:rPr>
          <w:rFonts w:ascii="Times New Roman" w:eastAsia="Times New Roman" w:hAnsi="Times New Roman" w:cs="Times New Roman"/>
          <w:color w:val="000000"/>
          <w:sz w:val="24"/>
          <w:szCs w:val="24"/>
          <w:lang w:eastAsia="bg-BG"/>
        </w:rPr>
        <w:t xml:space="preserve">ти </w:t>
      </w:r>
      <w:r w:rsidRPr="00BD5BB8">
        <w:rPr>
          <w:rFonts w:ascii="Times New Roman" w:eastAsia="Arial" w:hAnsi="Times New Roman" w:cs="Times New Roman"/>
          <w:color w:val="000000"/>
          <w:sz w:val="24"/>
          <w:szCs w:val="24"/>
          <w:lang w:eastAsia="bg-BG"/>
        </w:rPr>
        <w:t>в България. Това се доказв</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и от статистиката за броя на издаваните от Министерството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здравеопазването удостоверения, необходими за упражняване </w:t>
      </w:r>
      <w:r w:rsidRPr="00BD5BB8">
        <w:rPr>
          <w:rFonts w:ascii="Times New Roman" w:eastAsia="Courier New" w:hAnsi="Times New Roman" w:cs="Times New Roman"/>
          <w:color w:val="000000"/>
          <w:sz w:val="24"/>
          <w:szCs w:val="24"/>
          <w:lang w:eastAsia="bg-BG"/>
        </w:rPr>
        <w:t xml:space="preserve">на </w:t>
      </w:r>
      <w:r w:rsidRPr="00BD5BB8">
        <w:rPr>
          <w:rFonts w:ascii="Times New Roman" w:eastAsia="Arial" w:hAnsi="Times New Roman" w:cs="Times New Roman"/>
          <w:color w:val="000000"/>
          <w:sz w:val="24"/>
          <w:szCs w:val="24"/>
          <w:lang w:eastAsia="bg-BG"/>
        </w:rPr>
        <w:t xml:space="preserve">професията „лекар“ </w:t>
      </w:r>
      <w:r w:rsidRPr="00BD5BB8">
        <w:rPr>
          <w:rFonts w:ascii="Times New Roman" w:eastAsia="Courier New" w:hAnsi="Times New Roman" w:cs="Times New Roman"/>
          <w:color w:val="000000"/>
          <w:sz w:val="24"/>
          <w:szCs w:val="24"/>
          <w:lang w:eastAsia="bg-BG"/>
        </w:rPr>
        <w:t xml:space="preserve">в </w:t>
      </w:r>
      <w:r w:rsidRPr="00BD5BB8">
        <w:rPr>
          <w:rFonts w:ascii="Times New Roman" w:eastAsia="Arial" w:hAnsi="Times New Roman" w:cs="Times New Roman"/>
          <w:color w:val="000000"/>
          <w:sz w:val="24"/>
          <w:szCs w:val="24"/>
          <w:lang w:eastAsia="bg-BG"/>
        </w:rPr>
        <w:t>чужб</w:t>
      </w:r>
      <w:r w:rsidRPr="00BD5BB8">
        <w:rPr>
          <w:rFonts w:ascii="Times New Roman" w:eastAsia="Times New Roman" w:hAnsi="Times New Roman" w:cs="Times New Roman"/>
          <w:color w:val="000000"/>
          <w:sz w:val="24"/>
          <w:szCs w:val="24"/>
          <w:lang w:eastAsia="bg-BG"/>
        </w:rPr>
        <w:t>и</w:t>
      </w:r>
      <w:r w:rsidRPr="00BD5BB8">
        <w:rPr>
          <w:rFonts w:ascii="Times New Roman" w:eastAsia="Arial" w:hAnsi="Times New Roman" w:cs="Times New Roman"/>
          <w:color w:val="000000"/>
          <w:sz w:val="24"/>
          <w:szCs w:val="24"/>
          <w:lang w:eastAsia="bg-BG"/>
        </w:rPr>
        <w:t>на на български граждани, придобили квалификацията си в Република България — и през 2017 г., и през 2018 г. са издадени удостоверения за работа в чужбина на по-малко от 1% от лекарите в България. През 2018 г. беше разработен проект на Наредба за изменение и допълнение на Наредба №1, с който да се въведе ефективен механизъм за провеждане на държавната политика по осигуряван</w:t>
      </w:r>
      <w:r w:rsidRPr="00BD5BB8">
        <w:rPr>
          <w:rFonts w:ascii="Times New Roman" w:eastAsia="Times New Roman" w:hAnsi="Times New Roman" w:cs="Times New Roman"/>
          <w:color w:val="000000"/>
          <w:sz w:val="24"/>
          <w:szCs w:val="24"/>
          <w:lang w:eastAsia="bg-BG"/>
        </w:rPr>
        <w:t>е на н</w:t>
      </w:r>
      <w:r w:rsidRPr="00BD5BB8">
        <w:rPr>
          <w:rFonts w:ascii="Times New Roman" w:eastAsia="Arial" w:hAnsi="Times New Roman" w:cs="Times New Roman"/>
          <w:color w:val="000000"/>
          <w:sz w:val="24"/>
          <w:szCs w:val="24"/>
          <w:lang w:eastAsia="bg-BG"/>
        </w:rPr>
        <w:t>еобходимит</w:t>
      </w:r>
      <w:r w:rsidRPr="00BD5BB8">
        <w:rPr>
          <w:rFonts w:ascii="Times New Roman" w:eastAsia="Courier New" w:hAnsi="Times New Roman" w:cs="Times New Roman"/>
          <w:color w:val="000000"/>
          <w:sz w:val="24"/>
          <w:szCs w:val="24"/>
          <w:lang w:eastAsia="bg-BG"/>
        </w:rPr>
        <w:t xml:space="preserve">е </w:t>
      </w:r>
      <w:r w:rsidRPr="00BD5BB8">
        <w:rPr>
          <w:rFonts w:ascii="Times New Roman" w:eastAsia="Arial" w:hAnsi="Times New Roman" w:cs="Times New Roman"/>
          <w:color w:val="000000"/>
          <w:sz w:val="24"/>
          <w:szCs w:val="24"/>
          <w:lang w:eastAsia="bg-BG"/>
        </w:rPr>
        <w:t xml:space="preserve">специалисти, </w:t>
      </w:r>
      <w:r w:rsidRPr="00BD5BB8">
        <w:rPr>
          <w:rFonts w:ascii="Times New Roman" w:eastAsia="Times New Roman" w:hAnsi="Times New Roman" w:cs="Times New Roman"/>
          <w:color w:val="000000"/>
          <w:sz w:val="24"/>
          <w:szCs w:val="24"/>
          <w:lang w:eastAsia="bg-BG"/>
        </w:rPr>
        <w:t xml:space="preserve">да </w:t>
      </w:r>
      <w:r w:rsidRPr="00BD5BB8">
        <w:rPr>
          <w:rFonts w:ascii="Times New Roman" w:eastAsia="Arial" w:hAnsi="Times New Roman" w:cs="Times New Roman"/>
          <w:color w:val="000000"/>
          <w:sz w:val="24"/>
          <w:szCs w:val="24"/>
          <w:lang w:eastAsia="bg-BG"/>
        </w:rPr>
        <w:t>бъдат разреше</w:t>
      </w:r>
      <w:r w:rsidRPr="00BD5BB8">
        <w:rPr>
          <w:rFonts w:ascii="Times New Roman" w:eastAsia="Courier New" w:hAnsi="Times New Roman" w:cs="Times New Roman"/>
          <w:color w:val="000000"/>
          <w:sz w:val="24"/>
          <w:szCs w:val="24"/>
          <w:lang w:eastAsia="bg-BG"/>
        </w:rPr>
        <w:t>н</w:t>
      </w:r>
      <w:r w:rsidRPr="00BD5BB8">
        <w:rPr>
          <w:rFonts w:ascii="Times New Roman" w:eastAsia="Arial" w:hAnsi="Times New Roman" w:cs="Times New Roman"/>
          <w:color w:val="000000"/>
          <w:sz w:val="24"/>
          <w:szCs w:val="24"/>
          <w:lang w:eastAsia="bg-BG"/>
        </w:rPr>
        <w:t>и идентифицирани проблеми и да се подобрят отделни аспекти от обучението.</w:t>
      </w:r>
    </w:p>
    <w:p w:rsidR="005F2097" w:rsidRPr="00BD5BB8" w:rsidRDefault="005F2097" w:rsidP="005F2097">
      <w:pPr>
        <w:spacing w:after="0" w:line="240" w:lineRule="auto"/>
        <w:jc w:val="both"/>
        <w:rPr>
          <w:rFonts w:ascii="Times New Roman" w:hAnsi="Times New Roman" w:cs="Times New Roman"/>
          <w:b/>
          <w:caps/>
          <w:sz w:val="24"/>
          <w:szCs w:val="24"/>
        </w:rPr>
      </w:pPr>
    </w:p>
    <w:p w:rsidR="005F2097" w:rsidRPr="00BD5BB8" w:rsidRDefault="005F2097" w:rsidP="005F2097">
      <w:pPr>
        <w:spacing w:after="0" w:line="240" w:lineRule="auto"/>
        <w:jc w:val="center"/>
        <w:rPr>
          <w:rFonts w:ascii="Times New Roman" w:hAnsi="Times New Roman" w:cs="Times New Roman"/>
          <w:b/>
          <w:color w:val="C0504D" w:themeColor="accent2"/>
          <w:sz w:val="24"/>
          <w:szCs w:val="24"/>
        </w:rPr>
      </w:pPr>
      <w:r w:rsidRPr="00BD5BB8">
        <w:rPr>
          <w:rFonts w:ascii="Times New Roman" w:hAnsi="Times New Roman" w:cs="Times New Roman"/>
          <w:b/>
          <w:caps/>
          <w:color w:val="C0504D" w:themeColor="accent2"/>
          <w:sz w:val="24"/>
          <w:szCs w:val="24"/>
        </w:rPr>
        <w:t>Национална здравноосигурителна каса</w:t>
      </w:r>
      <w:r w:rsidRPr="00BD5BB8">
        <w:rPr>
          <w:rFonts w:ascii="Times New Roman" w:hAnsi="Times New Roman" w:cs="Times New Roman"/>
          <w:b/>
          <w:color w:val="C0504D" w:themeColor="accent2"/>
          <w:sz w:val="24"/>
          <w:szCs w:val="24"/>
        </w:rPr>
        <w:t xml:space="preserve"> (НЗОК)</w:t>
      </w:r>
    </w:p>
    <w:p w:rsidR="005F2097" w:rsidRPr="00BD5BB8" w:rsidRDefault="005F2097" w:rsidP="005F2097">
      <w:pPr>
        <w:spacing w:after="0" w:line="240" w:lineRule="auto"/>
        <w:jc w:val="both"/>
        <w:rPr>
          <w:rFonts w:ascii="Times New Roman" w:hAnsi="Times New Roman" w:cs="Times New Roman"/>
          <w:b/>
          <w:sz w:val="24"/>
          <w:szCs w:val="24"/>
        </w:rPr>
      </w:pPr>
    </w:p>
    <w:p w:rsidR="00156E73" w:rsidRPr="00BD5BB8" w:rsidRDefault="00156E73" w:rsidP="00156E73">
      <w:pPr>
        <w:spacing w:after="0" w:line="240" w:lineRule="auto"/>
        <w:ind w:firstLine="708"/>
        <w:jc w:val="both"/>
        <w:rPr>
          <w:rFonts w:ascii="Times New Roman" w:eastAsia="Calibri" w:hAnsi="Times New Roman" w:cs="Times New Roman"/>
          <w:b/>
          <w:sz w:val="24"/>
          <w:szCs w:val="24"/>
        </w:rPr>
      </w:pPr>
      <w:r w:rsidRPr="00BD5BB8">
        <w:rPr>
          <w:rFonts w:ascii="Times New Roman" w:eastAsia="Calibri" w:hAnsi="Times New Roman" w:cs="Times New Roman"/>
          <w:b/>
          <w:sz w:val="24"/>
          <w:szCs w:val="24"/>
        </w:rPr>
        <w:t xml:space="preserve">Цел: Да се създадат комплексни мерки за укрепване на здравето, превенция на болестите, насърчаване на грижата и закрилата на възрастните хора. Да се повиши качеството на живота чрез намаляване на преждевременната смъртност, заболеваемостта, хронифицирането и инвалидизацията. Отдаване на специално внимание на превантивните мерки, ранното диагностициране и лечение, грижите и особено дългосрочните грижи и социална защита на хората с болестта на Алцхаймер и други деменции, като същевременно се гарантира тяхното достойнство. </w:t>
      </w:r>
    </w:p>
    <w:p w:rsidR="00156E73" w:rsidRPr="00BD5BB8" w:rsidRDefault="00156E73" w:rsidP="00156E73">
      <w:pPr>
        <w:spacing w:after="0" w:line="240" w:lineRule="auto"/>
        <w:ind w:firstLine="708"/>
        <w:jc w:val="both"/>
        <w:rPr>
          <w:rFonts w:ascii="Times New Roman" w:eastAsia="Calibri" w:hAnsi="Times New Roman" w:cs="Times New Roman"/>
          <w:b/>
          <w:sz w:val="24"/>
          <w:szCs w:val="24"/>
        </w:rPr>
      </w:pPr>
    </w:p>
    <w:p w:rsidR="00156E73" w:rsidRPr="00BD5BB8" w:rsidRDefault="00156E73" w:rsidP="00156E73">
      <w:pPr>
        <w:spacing w:after="0" w:line="240" w:lineRule="auto"/>
        <w:ind w:firstLine="708"/>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Съгласно Закона за здравното осигуряване (ЗЗО) НЗОК закупува пакет от медицински дейности с обхват – профилактика, извънболнична и болнична медицинска помощ,</w:t>
      </w:r>
      <w:r w:rsidRPr="00BD5BB8">
        <w:rPr>
          <w:rFonts w:ascii="Times New Roman" w:eastAsia="Times New Roman" w:hAnsi="Times New Roman" w:cs="Times New Roman"/>
          <w:bCs/>
          <w:i/>
          <w:iCs/>
          <w:sz w:val="24"/>
          <w:szCs w:val="24"/>
          <w:lang w:eastAsia="bg-BG"/>
        </w:rPr>
        <w:t xml:space="preserve"> </w:t>
      </w:r>
      <w:r w:rsidRPr="00BD5BB8">
        <w:rPr>
          <w:rFonts w:ascii="Times New Roman" w:eastAsia="Times New Roman" w:hAnsi="Times New Roman" w:cs="Times New Roman"/>
          <w:bCs/>
          <w:iCs/>
          <w:sz w:val="24"/>
          <w:szCs w:val="24"/>
          <w:lang w:eastAsia="bg-BG"/>
        </w:rPr>
        <w:t>долекуване, продължително лечение, медицинска рехабилитация и др.</w:t>
      </w:r>
      <w:r w:rsidRPr="00BD5BB8">
        <w:rPr>
          <w:rFonts w:ascii="Times New Roman" w:eastAsia="Times New Roman" w:hAnsi="Times New Roman" w:cs="Times New Roman"/>
          <w:bCs/>
          <w:sz w:val="24"/>
          <w:szCs w:val="24"/>
          <w:lang w:eastAsia="bg-BG"/>
        </w:rPr>
        <w:t xml:space="preserve">, включително осигурява лекарствени средства и медицински изделия. Дейности извън този пакет – в рамките на утвърдения от Народното събрание бюджет, се заплащат от самите граждани или от доброволни фондове (ако гражданите са решили да се осигуряват и в тях). </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lastRenderedPageBreak/>
        <w:t xml:space="preserve">Лицата, които са упражнили правото си на пенсия за осигурителен стаж и възраст, заплащат 1.00 лв. потребителска такса </w:t>
      </w:r>
      <w:r w:rsidRPr="00BD5BB8">
        <w:rPr>
          <w:rFonts w:ascii="Times New Roman" w:eastAsia="Times New Roman" w:hAnsi="Times New Roman" w:cs="Times New Roman"/>
          <w:bCs/>
          <w:sz w:val="24"/>
          <w:szCs w:val="24"/>
          <w:lang w:eastAsia="bg-BG"/>
        </w:rPr>
        <w:t>за всяко посещение</w:t>
      </w:r>
      <w:r w:rsidRPr="00BD5BB8">
        <w:rPr>
          <w:rFonts w:ascii="Times New Roman" w:eastAsia="Times New Roman" w:hAnsi="Times New Roman" w:cs="Times New Roman"/>
          <w:b/>
          <w:bCs/>
          <w:sz w:val="24"/>
          <w:szCs w:val="24"/>
          <w:lang w:eastAsia="bg-BG"/>
        </w:rPr>
        <w:t xml:space="preserve"> </w:t>
      </w:r>
      <w:r w:rsidRPr="00BD5BB8">
        <w:rPr>
          <w:rFonts w:ascii="Times New Roman" w:eastAsia="Times New Roman" w:hAnsi="Times New Roman" w:cs="Times New Roman"/>
          <w:sz w:val="24"/>
          <w:szCs w:val="24"/>
          <w:lang w:eastAsia="bg-BG"/>
        </w:rPr>
        <w:t xml:space="preserve">при общопрактикуващия лекар, при лекаря специалист и при лекаря по дентална медицина, като разликата до пълния ѝ размер се заплаща от държавния бюджет. </w:t>
      </w:r>
    </w:p>
    <w:p w:rsidR="00156E73" w:rsidRPr="00BD5BB8" w:rsidRDefault="00156E73" w:rsidP="00156E73">
      <w:pPr>
        <w:spacing w:after="0" w:line="240" w:lineRule="auto"/>
        <w:ind w:firstLine="708"/>
        <w:jc w:val="both"/>
        <w:rPr>
          <w:rFonts w:ascii="Times New Roman" w:eastAsia="Calibri" w:hAnsi="Times New Roman" w:cs="Times New Roman"/>
          <w:b/>
          <w:sz w:val="24"/>
          <w:szCs w:val="24"/>
        </w:rPr>
      </w:pPr>
      <w:r w:rsidRPr="00BD5BB8">
        <w:rPr>
          <w:rFonts w:ascii="Times New Roman" w:eastAsia="Times New Roman" w:hAnsi="Times New Roman" w:cs="Times New Roman"/>
          <w:sz w:val="24"/>
          <w:szCs w:val="24"/>
          <w:lang w:eastAsia="bg-BG"/>
        </w:rPr>
        <w:t xml:space="preserve">От потребителска такса са освободени </w:t>
      </w:r>
      <w:r w:rsidRPr="00BD5BB8">
        <w:rPr>
          <w:rFonts w:ascii="Times New Roman" w:eastAsia="Times New Roman" w:hAnsi="Times New Roman" w:cs="Times New Roman"/>
          <w:bCs/>
          <w:sz w:val="24"/>
          <w:szCs w:val="24"/>
          <w:shd w:val="clear" w:color="auto" w:fill="FFFFFF"/>
          <w:lang w:eastAsia="bg-BG"/>
        </w:rPr>
        <w:t xml:space="preserve">лица със заболявания, включени в Приложение „Списък със заболяванията, при които здравноосигурените лица са освободени от заплащане на такса по чл. 37, ал. 1 от ЗЗО“ към  Националния рамков договор за медицинските дейности, включително всички страдащи от заболявания с над 71% намалена работоспособност. Потребителска такса не заплащат и определени категории лица, сред които: </w:t>
      </w:r>
      <w:r w:rsidRPr="00BD5BB8">
        <w:rPr>
          <w:rFonts w:ascii="Times New Roman" w:eastAsia="Times New Roman" w:hAnsi="Times New Roman" w:cs="Times New Roman"/>
          <w:sz w:val="24"/>
          <w:szCs w:val="24"/>
          <w:lang w:eastAsia="bg-BG"/>
        </w:rPr>
        <w:t xml:space="preserve">ветерани от войните, военноинвалиди, военнопострадали; социално слаби, получаващи помощи по Правилника за прилагане на Закона за социално подпомагане и др. </w:t>
      </w:r>
    </w:p>
    <w:p w:rsidR="00156E73" w:rsidRPr="00BD5BB8" w:rsidRDefault="00156E73" w:rsidP="00156E73">
      <w:pPr>
        <w:shd w:val="clear" w:color="auto" w:fill="FFFFFF"/>
        <w:spacing w:after="0" w:line="240" w:lineRule="auto"/>
        <w:ind w:firstLine="708"/>
        <w:jc w:val="both"/>
        <w:outlineLvl w:val="2"/>
        <w:rPr>
          <w:rFonts w:ascii="Times New Roman" w:eastAsia="Times New Roman" w:hAnsi="Times New Roman" w:cs="Times New Roman"/>
          <w:bCs/>
          <w:strike/>
          <w:sz w:val="24"/>
          <w:szCs w:val="24"/>
          <w:shd w:val="clear" w:color="auto" w:fill="FFFFFF"/>
          <w:lang w:eastAsia="bg-BG"/>
        </w:rPr>
      </w:pPr>
      <w:r w:rsidRPr="00BD5BB8">
        <w:rPr>
          <w:rFonts w:ascii="Times New Roman" w:eastAsia="Calibri" w:hAnsi="Times New Roman" w:cs="Times New Roman"/>
          <w:b/>
          <w:sz w:val="24"/>
          <w:szCs w:val="24"/>
        </w:rPr>
        <w:t>В пакета от медицински дейности, заплащани от бюджета на НЗОК, при провеждането на профилактичен преглед е отделено внимание на категорията лица, попадащи във възрастовата група над 50- и над 65-годишна възраст.</w:t>
      </w:r>
      <w:r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b/>
          <w:sz w:val="24"/>
          <w:szCs w:val="24"/>
        </w:rPr>
        <w:t>За тях са предвидени определен обем прегледи и изследвания с цел ранна диагностика, включване в т.нар. рискови групи и лечение, както и диспансерно наблюдение при вече доказани заболявания.</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За периода 2017 г. – 2018 г. при извършване на годишен профилактичен преглед НЗОК осигурява допълнителни медико-диагностични изследвания, както следва:</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 при мъже над 40-годишна възраст и жени над 50-годишна възраст се извършват и изследвания на холестерол (общ и HDL)  и триглицериди, оценка на СС риск по SCORE системата (за лица без сърдечно-съдови заболявания, захарен диабет, хронична бъбречна недостатъчност (ХБН)), както и изследване на LDL-холестерол (за лица със сърдечно-съдови заболявания, захарен диабет, ХБН, при които не се извършва оценка на СС риск по SCORE системата)  </w:t>
      </w:r>
      <w:r w:rsidR="00A33D0E"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един път на пет години.</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Calibri" w:hAnsi="Times New Roman" w:cs="Times New Roman"/>
          <w:sz w:val="24"/>
          <w:szCs w:val="24"/>
        </w:rPr>
        <w:t xml:space="preserve">– при жени и мъже от </w:t>
      </w:r>
      <w:r w:rsidRPr="00BD5BB8">
        <w:rPr>
          <w:rFonts w:ascii="Times New Roman" w:eastAsia="Times New Roman" w:hAnsi="Times New Roman" w:cs="Times New Roman"/>
          <w:sz w:val="24"/>
          <w:szCs w:val="24"/>
          <w:lang w:eastAsia="bg-BG"/>
        </w:rPr>
        <w:t xml:space="preserve">46 до 65-годишна възраст, освен определения за всички лица над 18-годишна възраст обем прегледи и изследвания, се прави пълна кръвна картина - веднъж на пет години. </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 при лицата над 65-годишна възраст </w:t>
      </w:r>
      <w:r w:rsidR="00A33D0E"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мъже и жени, се назначава изследване на пълна кръвна картина - ежегодно; холестерол и триглицериди </w:t>
      </w:r>
      <w:r w:rsidR="00A33D0E"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един път на 5 години; оценка на СС риск по SCORE системата (за лица без сърдечно-съдови заболявания, захарен диабет, ХБН), както и изследване на LDL-холестерол (за лица със сърдечно-съдови заболявания, захарен диабет, ХБН, при които не се извършва оценка на СС риск по SCORE системата)  </w:t>
      </w:r>
      <w:r w:rsidR="00A33D0E"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 xml:space="preserve">един път на пет години. </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 при мъже над 50-годишна възраст се провежда и изследване за PSA - веднъж на две години. </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 при жени от 50 до 69-годишна възраст включително, общопрактикуващият лекар, след клинично изследване на млечните жлези, насочва жената с медицинско направление за мамография на млечни жлези </w:t>
      </w:r>
      <w:r w:rsidR="00A33D0E" w:rsidRPr="00BD5BB8">
        <w:rPr>
          <w:rFonts w:ascii="Times New Roman" w:eastAsia="Times New Roman" w:hAnsi="Times New Roman" w:cs="Times New Roman"/>
          <w:sz w:val="24"/>
          <w:szCs w:val="24"/>
          <w:lang w:eastAsia="bg-BG"/>
        </w:rPr>
        <w:t xml:space="preserve">– </w:t>
      </w:r>
      <w:r w:rsidR="00B40951" w:rsidRPr="00BD5BB8">
        <w:rPr>
          <w:rFonts w:ascii="Times New Roman" w:eastAsia="Times New Roman" w:hAnsi="Times New Roman" w:cs="Times New Roman"/>
          <w:sz w:val="24"/>
          <w:szCs w:val="24"/>
          <w:lang w:eastAsia="bg-BG"/>
        </w:rPr>
        <w:t>веднъж на две години.</w:t>
      </w:r>
    </w:p>
    <w:p w:rsidR="00B40951" w:rsidRPr="00BD5BB8" w:rsidRDefault="00B40951" w:rsidP="00156E73">
      <w:pPr>
        <w:spacing w:after="0" w:line="240" w:lineRule="auto"/>
        <w:ind w:firstLine="708"/>
        <w:jc w:val="both"/>
        <w:rPr>
          <w:rFonts w:ascii="Times New Roman" w:eastAsia="Times New Roman" w:hAnsi="Times New Roman" w:cs="Times New Roman"/>
          <w:sz w:val="24"/>
          <w:szCs w:val="24"/>
          <w:lang w:eastAsia="bg-BG"/>
        </w:rPr>
      </w:pPr>
    </w:p>
    <w:p w:rsidR="00B40951" w:rsidRPr="00BD5BB8" w:rsidRDefault="00B40951" w:rsidP="00B40951">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Брой профилактични прегледи на ЗОЛ над 55-годишна възраст</w:t>
      </w:r>
    </w:p>
    <w:p w:rsidR="00B40951" w:rsidRPr="00BD5BB8" w:rsidRDefault="00B40951" w:rsidP="00B40951">
      <w:pPr>
        <w:spacing w:after="0" w:line="240" w:lineRule="auto"/>
        <w:ind w:firstLine="708"/>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през 2017 г. и 2018 г.</w:t>
      </w:r>
    </w:p>
    <w:p w:rsidR="00B40951" w:rsidRPr="00BD5BB8" w:rsidRDefault="00B40951" w:rsidP="00B40951">
      <w:pPr>
        <w:spacing w:after="0" w:line="240" w:lineRule="auto"/>
        <w:ind w:firstLine="708"/>
        <w:jc w:val="center"/>
        <w:rPr>
          <w:rFonts w:ascii="Times New Roman" w:eastAsia="Times New Roman" w:hAnsi="Times New Roman" w:cs="Times New Roman"/>
          <w:sz w:val="24"/>
          <w:szCs w:val="24"/>
          <w:lang w:eastAsia="bg-BG"/>
        </w:rPr>
      </w:pPr>
    </w:p>
    <w:tbl>
      <w:tblPr>
        <w:tblW w:w="9087" w:type="dxa"/>
        <w:tblInd w:w="93" w:type="dxa"/>
        <w:tblLook w:val="04A0" w:firstRow="1" w:lastRow="0" w:firstColumn="1" w:lastColumn="0" w:noHBand="0" w:noVBand="1"/>
      </w:tblPr>
      <w:tblGrid>
        <w:gridCol w:w="2142"/>
        <w:gridCol w:w="1842"/>
        <w:gridCol w:w="1701"/>
        <w:gridCol w:w="1701"/>
        <w:gridCol w:w="1701"/>
      </w:tblGrid>
      <w:tr w:rsidR="00156E73" w:rsidRPr="00BD5BB8" w:rsidTr="00A33D0E">
        <w:trPr>
          <w:trHeight w:val="300"/>
        </w:trPr>
        <w:tc>
          <w:tcPr>
            <w:tcW w:w="21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0"/>
                <w:szCs w:val="20"/>
              </w:rPr>
            </w:pPr>
            <w:r w:rsidRPr="00BD5BB8">
              <w:rPr>
                <w:rFonts w:ascii="Times New Roman" w:eastAsia="Times New Roman" w:hAnsi="Times New Roman" w:cs="Times New Roman"/>
                <w:b/>
                <w:color w:val="000000"/>
                <w:sz w:val="20"/>
                <w:szCs w:val="20"/>
              </w:rPr>
              <w:t>година</w:t>
            </w:r>
          </w:p>
        </w:tc>
        <w:tc>
          <w:tcPr>
            <w:tcW w:w="3543"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0"/>
                <w:szCs w:val="20"/>
              </w:rPr>
            </w:pPr>
            <w:r w:rsidRPr="00BD5BB8">
              <w:rPr>
                <w:rFonts w:ascii="Times New Roman" w:eastAsia="Times New Roman" w:hAnsi="Times New Roman" w:cs="Times New Roman"/>
                <w:b/>
                <w:color w:val="000000"/>
                <w:sz w:val="20"/>
                <w:szCs w:val="20"/>
              </w:rPr>
              <w:t>2017 г.</w:t>
            </w:r>
          </w:p>
        </w:tc>
        <w:tc>
          <w:tcPr>
            <w:tcW w:w="3402"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0"/>
                <w:szCs w:val="20"/>
              </w:rPr>
            </w:pPr>
            <w:r w:rsidRPr="00BD5BB8">
              <w:rPr>
                <w:rFonts w:ascii="Times New Roman" w:eastAsia="Times New Roman" w:hAnsi="Times New Roman" w:cs="Times New Roman"/>
                <w:b/>
                <w:color w:val="000000"/>
                <w:sz w:val="20"/>
                <w:szCs w:val="20"/>
              </w:rPr>
              <w:t>2018 г.</w:t>
            </w:r>
          </w:p>
        </w:tc>
      </w:tr>
      <w:tr w:rsidR="00156E73" w:rsidRPr="00BD5BB8" w:rsidTr="00A33D0E">
        <w:trPr>
          <w:trHeight w:val="300"/>
        </w:trPr>
        <w:tc>
          <w:tcPr>
            <w:tcW w:w="2142"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0"/>
                <w:szCs w:val="20"/>
              </w:rPr>
            </w:pPr>
            <w:r w:rsidRPr="00BD5BB8">
              <w:rPr>
                <w:rFonts w:ascii="Times New Roman" w:eastAsia="Times New Roman" w:hAnsi="Times New Roman" w:cs="Times New Roman"/>
                <w:b/>
                <w:color w:val="000000"/>
                <w:sz w:val="20"/>
                <w:szCs w:val="20"/>
              </w:rPr>
              <w:t>пол</w:t>
            </w:r>
          </w:p>
        </w:tc>
        <w:tc>
          <w:tcPr>
            <w:tcW w:w="1842"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мъже</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жени</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мъже</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жени</w:t>
            </w:r>
          </w:p>
        </w:tc>
      </w:tr>
      <w:tr w:rsidR="00156E73" w:rsidRPr="00BD5BB8" w:rsidTr="00A33D0E">
        <w:trPr>
          <w:trHeight w:val="300"/>
        </w:trPr>
        <w:tc>
          <w:tcPr>
            <w:tcW w:w="2142"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0"/>
                <w:szCs w:val="20"/>
              </w:rPr>
            </w:pPr>
            <w:r w:rsidRPr="00BD5BB8">
              <w:rPr>
                <w:rFonts w:ascii="Times New Roman" w:eastAsia="Times New Roman" w:hAnsi="Times New Roman" w:cs="Times New Roman"/>
                <w:b/>
                <w:color w:val="000000"/>
                <w:sz w:val="20"/>
                <w:szCs w:val="20"/>
              </w:rPr>
              <w:t>брой</w:t>
            </w:r>
          </w:p>
        </w:tc>
        <w:tc>
          <w:tcPr>
            <w:tcW w:w="1842"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463 774</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659 642</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502 067</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715 083</w:t>
            </w:r>
          </w:p>
        </w:tc>
      </w:tr>
    </w:tbl>
    <w:p w:rsidR="00156E73" w:rsidRPr="00BD5BB8" w:rsidRDefault="00156E73" w:rsidP="00156E73">
      <w:pPr>
        <w:spacing w:after="0" w:line="240" w:lineRule="auto"/>
        <w:rPr>
          <w:rFonts w:ascii="Times New Roman" w:eastAsia="Times New Roman" w:hAnsi="Times New Roman" w:cs="Times New Roman"/>
          <w:sz w:val="24"/>
          <w:szCs w:val="24"/>
          <w:lang w:eastAsia="bg-BG"/>
        </w:rPr>
      </w:pP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lastRenderedPageBreak/>
        <w:t xml:space="preserve">С оглед профилактиката на социално значими и приоритетни за страната заболявания, при извършване на годишния профилактичен преглед общопрактикуващият лекар формира рискови групи. </w:t>
      </w:r>
      <w:r w:rsidRPr="00BD5BB8">
        <w:rPr>
          <w:rFonts w:ascii="Times New Roman" w:eastAsia="Times New Roman" w:hAnsi="Times New Roman" w:cs="Times New Roman"/>
          <w:sz w:val="24"/>
          <w:szCs w:val="24"/>
          <w:lang w:eastAsia="bg-BG"/>
        </w:rPr>
        <w:t>В тях влизат всички здравноосигурени лица (ЗОЛ) с рискови фактори за развитие на:</w:t>
      </w:r>
    </w:p>
    <w:p w:rsidR="00156E73" w:rsidRPr="00BD5BB8" w:rsidRDefault="00156E73" w:rsidP="00156E73">
      <w:pPr>
        <w:spacing w:after="0" w:line="240" w:lineRule="auto"/>
        <w:ind w:firstLine="708"/>
        <w:jc w:val="both"/>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sz w:val="24"/>
          <w:szCs w:val="24"/>
          <w:lang w:eastAsia="bg-BG"/>
        </w:rPr>
        <w:t>- сърдечно-съдови заболявания;</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
          <w:sz w:val="24"/>
          <w:szCs w:val="24"/>
          <w:lang w:eastAsia="bg-BG"/>
        </w:rPr>
        <w:t>- </w:t>
      </w:r>
      <w:r w:rsidRPr="00BD5BB8">
        <w:rPr>
          <w:rFonts w:ascii="Times New Roman" w:eastAsia="Times New Roman" w:hAnsi="Times New Roman" w:cs="Times New Roman"/>
          <w:sz w:val="24"/>
          <w:szCs w:val="24"/>
          <w:lang w:eastAsia="bg-BG"/>
        </w:rPr>
        <w:t>захарен диабет тип 2;</w:t>
      </w:r>
    </w:p>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злокачествено новообразувание на шийката на матката;</w:t>
      </w:r>
    </w:p>
    <w:p w:rsidR="00156E73" w:rsidRPr="00BD5BB8" w:rsidRDefault="00156E73" w:rsidP="00156E73">
      <w:pPr>
        <w:spacing w:after="0" w:line="240" w:lineRule="auto"/>
        <w:ind w:firstLine="708"/>
        <w:jc w:val="both"/>
        <w:rPr>
          <w:rFonts w:ascii="Times New Roman" w:eastAsia="Calibri" w:hAnsi="Times New Roman" w:cs="Times New Roman"/>
          <w:sz w:val="24"/>
          <w:szCs w:val="24"/>
          <w:lang w:eastAsia="bg-BG"/>
        </w:rPr>
      </w:pPr>
      <w:r w:rsidRPr="00BD5BB8">
        <w:rPr>
          <w:rFonts w:ascii="Times New Roman" w:eastAsia="Times New Roman" w:hAnsi="Times New Roman" w:cs="Times New Roman"/>
          <w:sz w:val="24"/>
          <w:szCs w:val="24"/>
          <w:lang w:eastAsia="bg-BG"/>
        </w:rPr>
        <w:t>- злокачествено</w:t>
      </w:r>
      <w:r w:rsidRPr="00BD5BB8">
        <w:rPr>
          <w:rFonts w:ascii="Times New Roman" w:eastAsia="Calibri" w:hAnsi="Times New Roman" w:cs="Times New Roman"/>
          <w:sz w:val="24"/>
          <w:szCs w:val="24"/>
          <w:lang w:eastAsia="bg-BG"/>
        </w:rPr>
        <w:t xml:space="preserve"> новообразувание на млечната жлеза;</w:t>
      </w:r>
    </w:p>
    <w:p w:rsidR="00156E73" w:rsidRPr="00BD5BB8" w:rsidRDefault="00156E73" w:rsidP="00156E73">
      <w:pPr>
        <w:spacing w:after="0" w:line="240" w:lineRule="auto"/>
        <w:ind w:firstLine="708"/>
        <w:jc w:val="both"/>
        <w:rPr>
          <w:rFonts w:ascii="Times New Roman" w:eastAsia="Calibri" w:hAnsi="Times New Roman" w:cs="Times New Roman"/>
          <w:sz w:val="24"/>
          <w:szCs w:val="24"/>
          <w:lang w:eastAsia="bg-BG"/>
        </w:rPr>
      </w:pPr>
      <w:r w:rsidRPr="00BD5BB8">
        <w:rPr>
          <w:rFonts w:ascii="Times New Roman" w:eastAsia="Calibri" w:hAnsi="Times New Roman" w:cs="Times New Roman"/>
          <w:sz w:val="24"/>
          <w:szCs w:val="24"/>
          <w:lang w:eastAsia="bg-BG"/>
        </w:rPr>
        <w:t>- злокачествено новообразувание на ректосигмоидалната област;</w:t>
      </w:r>
    </w:p>
    <w:p w:rsidR="00156E73" w:rsidRPr="00BD5BB8" w:rsidRDefault="00156E73" w:rsidP="00156E73">
      <w:pPr>
        <w:spacing w:after="0" w:line="240" w:lineRule="auto"/>
        <w:ind w:firstLine="708"/>
        <w:jc w:val="both"/>
        <w:rPr>
          <w:rFonts w:ascii="Times New Roman" w:eastAsia="Calibri" w:hAnsi="Times New Roman" w:cs="Times New Roman"/>
          <w:sz w:val="24"/>
          <w:szCs w:val="24"/>
          <w:lang w:eastAsia="bg-BG"/>
        </w:rPr>
      </w:pPr>
      <w:r w:rsidRPr="00BD5BB8">
        <w:rPr>
          <w:rFonts w:ascii="Times New Roman" w:eastAsia="Calibri" w:hAnsi="Times New Roman" w:cs="Times New Roman"/>
          <w:sz w:val="24"/>
          <w:szCs w:val="24"/>
          <w:lang w:eastAsia="bg-BG"/>
        </w:rPr>
        <w:t>- злокачествено новообразувание на простатата.</w:t>
      </w:r>
    </w:p>
    <w:p w:rsidR="00156E73" w:rsidRPr="00BD5BB8" w:rsidRDefault="00156E73" w:rsidP="00156E73">
      <w:pPr>
        <w:spacing w:after="0" w:line="240" w:lineRule="auto"/>
        <w:ind w:firstLine="708"/>
        <w:jc w:val="both"/>
        <w:rPr>
          <w:rFonts w:ascii="Times New Roman" w:eastAsia="Calibri" w:hAnsi="Times New Roman" w:cs="Times New Roman"/>
          <w:sz w:val="24"/>
          <w:szCs w:val="24"/>
          <w:lang w:eastAsia="bg-BG"/>
        </w:rPr>
      </w:pPr>
      <w:r w:rsidRPr="00BD5BB8">
        <w:rPr>
          <w:rFonts w:ascii="Times New Roman" w:eastAsia="Calibri" w:hAnsi="Times New Roman" w:cs="Times New Roman"/>
          <w:sz w:val="24"/>
          <w:szCs w:val="24"/>
          <w:lang w:eastAsia="bg-BG"/>
        </w:rPr>
        <w:t>В тези случаи лекарят информира пациента за рисковите фактори за развитие на заболяване, дава препоръки за начина на живот и провежда обучение за самонаблюдение и контрол (тегло, кръвно налягане, сърдечна честота и др.), издава направления за диагностични изследвания и при необходимост насочва за консултация със съответния лекар специалист.</w:t>
      </w:r>
    </w:p>
    <w:p w:rsidR="001C3639" w:rsidRPr="00BD5BB8" w:rsidRDefault="001C3639" w:rsidP="001C3639">
      <w:pPr>
        <w:spacing w:after="0" w:line="240" w:lineRule="auto"/>
        <w:jc w:val="center"/>
        <w:rPr>
          <w:rFonts w:ascii="Times New Roman" w:eastAsia="Times New Roman" w:hAnsi="Times New Roman" w:cs="Times New Roman"/>
          <w:b/>
          <w:bCs/>
          <w:color w:val="000000"/>
          <w:sz w:val="24"/>
          <w:szCs w:val="24"/>
        </w:rPr>
      </w:pPr>
    </w:p>
    <w:p w:rsidR="001C3639" w:rsidRPr="00BD5BB8" w:rsidRDefault="001C3639" w:rsidP="001C3639">
      <w:pPr>
        <w:spacing w:after="0" w:line="240" w:lineRule="auto"/>
        <w:jc w:val="center"/>
        <w:rPr>
          <w:rFonts w:ascii="Times New Roman" w:eastAsia="Calibri" w:hAnsi="Times New Roman" w:cs="Times New Roman"/>
          <w:sz w:val="24"/>
          <w:szCs w:val="24"/>
          <w:lang w:eastAsia="bg-BG"/>
        </w:rPr>
      </w:pPr>
      <w:r w:rsidRPr="00BD5BB8">
        <w:rPr>
          <w:rFonts w:ascii="Times New Roman" w:eastAsia="Times New Roman" w:hAnsi="Times New Roman" w:cs="Times New Roman"/>
          <w:b/>
          <w:bCs/>
          <w:color w:val="000000"/>
          <w:sz w:val="24"/>
          <w:szCs w:val="24"/>
        </w:rPr>
        <w:t>Брой на ЗОЛ над 55-годишна възраст, включени от ОПЛ в рискови групи при провеждането на профилактичен преглед през 2017 г. и 2018 г.</w:t>
      </w:r>
    </w:p>
    <w:p w:rsidR="00156E73" w:rsidRPr="00BD5BB8" w:rsidRDefault="00156E73" w:rsidP="00156E73">
      <w:pPr>
        <w:spacing w:after="0" w:line="240" w:lineRule="auto"/>
        <w:ind w:firstLine="708"/>
        <w:jc w:val="both"/>
        <w:rPr>
          <w:rFonts w:ascii="Times New Roman" w:eastAsia="Calibri" w:hAnsi="Times New Roman" w:cs="Times New Roman"/>
          <w:sz w:val="24"/>
          <w:szCs w:val="24"/>
          <w:lang w:eastAsia="bg-BG"/>
        </w:rPr>
      </w:pPr>
    </w:p>
    <w:tbl>
      <w:tblPr>
        <w:tblW w:w="8829" w:type="dxa"/>
        <w:tblInd w:w="250" w:type="dxa"/>
        <w:tblLook w:val="04A0" w:firstRow="1" w:lastRow="0" w:firstColumn="1" w:lastColumn="0" w:noHBand="0" w:noVBand="1"/>
      </w:tblPr>
      <w:tblGrid>
        <w:gridCol w:w="2552"/>
        <w:gridCol w:w="2693"/>
        <w:gridCol w:w="3584"/>
      </w:tblGrid>
      <w:tr w:rsidR="00156E73" w:rsidRPr="00BD5BB8" w:rsidTr="001C3639">
        <w:trPr>
          <w:trHeight w:val="315"/>
        </w:trPr>
        <w:tc>
          <w:tcPr>
            <w:tcW w:w="255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b/>
                <w:bCs/>
                <w:color w:val="000000"/>
              </w:rPr>
            </w:pPr>
            <w:r w:rsidRPr="00BD5BB8">
              <w:rPr>
                <w:rFonts w:ascii="Times New Roman" w:eastAsia="Times New Roman" w:hAnsi="Times New Roman" w:cs="Times New Roman"/>
                <w:b/>
                <w:bCs/>
                <w:color w:val="000000"/>
              </w:rPr>
              <w:t>година</w:t>
            </w:r>
          </w:p>
        </w:tc>
        <w:tc>
          <w:tcPr>
            <w:tcW w:w="2693" w:type="dxa"/>
            <w:tcBorders>
              <w:top w:val="single" w:sz="8" w:space="0" w:color="auto"/>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b/>
                <w:bCs/>
                <w:color w:val="000000"/>
              </w:rPr>
            </w:pPr>
            <w:r w:rsidRPr="00BD5BB8">
              <w:rPr>
                <w:rFonts w:ascii="Times New Roman" w:eastAsia="Times New Roman" w:hAnsi="Times New Roman" w:cs="Times New Roman"/>
                <w:b/>
                <w:bCs/>
                <w:color w:val="000000"/>
              </w:rPr>
              <w:t>пол</w:t>
            </w:r>
          </w:p>
        </w:tc>
        <w:tc>
          <w:tcPr>
            <w:tcW w:w="3584" w:type="dxa"/>
            <w:tcBorders>
              <w:top w:val="single" w:sz="8" w:space="0" w:color="auto"/>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b/>
                <w:bCs/>
                <w:color w:val="000000"/>
              </w:rPr>
            </w:pPr>
            <w:r w:rsidRPr="00BD5BB8">
              <w:rPr>
                <w:rFonts w:ascii="Times New Roman" w:eastAsia="Times New Roman" w:hAnsi="Times New Roman" w:cs="Times New Roman"/>
                <w:b/>
                <w:bCs/>
                <w:color w:val="000000"/>
              </w:rPr>
              <w:t>бр</w:t>
            </w:r>
            <w:r w:rsidR="001C3639" w:rsidRPr="00BD5BB8">
              <w:rPr>
                <w:rFonts w:ascii="Times New Roman" w:eastAsia="Times New Roman" w:hAnsi="Times New Roman" w:cs="Times New Roman"/>
                <w:b/>
                <w:bCs/>
                <w:color w:val="000000"/>
              </w:rPr>
              <w:t>ой</w:t>
            </w:r>
            <w:r w:rsidRPr="00BD5BB8">
              <w:rPr>
                <w:rFonts w:ascii="Times New Roman" w:eastAsia="Times New Roman" w:hAnsi="Times New Roman" w:cs="Times New Roman"/>
                <w:b/>
                <w:bCs/>
                <w:color w:val="000000"/>
              </w:rPr>
              <w:t xml:space="preserve"> пациенти</w:t>
            </w:r>
          </w:p>
        </w:tc>
      </w:tr>
      <w:tr w:rsidR="00156E73" w:rsidRPr="00BD5BB8" w:rsidTr="001C3639">
        <w:trPr>
          <w:trHeight w:val="315"/>
        </w:trPr>
        <w:tc>
          <w:tcPr>
            <w:tcW w:w="2552" w:type="dxa"/>
            <w:tcBorders>
              <w:top w:val="nil"/>
              <w:left w:val="single" w:sz="8" w:space="0" w:color="auto"/>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2017</w:t>
            </w:r>
          </w:p>
        </w:tc>
        <w:tc>
          <w:tcPr>
            <w:tcW w:w="2693"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мъже</w:t>
            </w:r>
          </w:p>
        </w:tc>
        <w:tc>
          <w:tcPr>
            <w:tcW w:w="3584"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138 999</w:t>
            </w:r>
          </w:p>
        </w:tc>
      </w:tr>
      <w:tr w:rsidR="00156E73" w:rsidRPr="00BD5BB8" w:rsidTr="001C3639">
        <w:trPr>
          <w:trHeight w:val="315"/>
        </w:trPr>
        <w:tc>
          <w:tcPr>
            <w:tcW w:w="2552" w:type="dxa"/>
            <w:tcBorders>
              <w:top w:val="nil"/>
              <w:left w:val="single" w:sz="8" w:space="0" w:color="auto"/>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2017</w:t>
            </w:r>
          </w:p>
        </w:tc>
        <w:tc>
          <w:tcPr>
            <w:tcW w:w="2693"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жени</w:t>
            </w:r>
          </w:p>
        </w:tc>
        <w:tc>
          <w:tcPr>
            <w:tcW w:w="3584"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217 834</w:t>
            </w:r>
          </w:p>
        </w:tc>
      </w:tr>
      <w:tr w:rsidR="00156E73" w:rsidRPr="00BD5BB8" w:rsidTr="001C3639">
        <w:trPr>
          <w:trHeight w:val="315"/>
        </w:trPr>
        <w:tc>
          <w:tcPr>
            <w:tcW w:w="2552" w:type="dxa"/>
            <w:tcBorders>
              <w:top w:val="nil"/>
              <w:left w:val="single" w:sz="8" w:space="0" w:color="auto"/>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2018</w:t>
            </w:r>
          </w:p>
        </w:tc>
        <w:tc>
          <w:tcPr>
            <w:tcW w:w="2693"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мъже</w:t>
            </w:r>
          </w:p>
        </w:tc>
        <w:tc>
          <w:tcPr>
            <w:tcW w:w="3584"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154 112</w:t>
            </w:r>
          </w:p>
        </w:tc>
      </w:tr>
      <w:tr w:rsidR="00156E73" w:rsidRPr="00BD5BB8" w:rsidTr="001C3639">
        <w:trPr>
          <w:trHeight w:val="315"/>
        </w:trPr>
        <w:tc>
          <w:tcPr>
            <w:tcW w:w="2552" w:type="dxa"/>
            <w:tcBorders>
              <w:top w:val="nil"/>
              <w:left w:val="single" w:sz="8" w:space="0" w:color="auto"/>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2018</w:t>
            </w:r>
          </w:p>
        </w:tc>
        <w:tc>
          <w:tcPr>
            <w:tcW w:w="2693"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жени</w:t>
            </w:r>
          </w:p>
        </w:tc>
        <w:tc>
          <w:tcPr>
            <w:tcW w:w="3584" w:type="dxa"/>
            <w:tcBorders>
              <w:top w:val="nil"/>
              <w:left w:val="nil"/>
              <w:bottom w:val="single" w:sz="8" w:space="0" w:color="auto"/>
              <w:right w:val="single" w:sz="8" w:space="0" w:color="auto"/>
            </w:tcBorders>
            <w:shd w:val="clear" w:color="auto" w:fill="auto"/>
            <w:noWrap/>
            <w:vAlign w:val="center"/>
            <w:hideMark/>
          </w:tcPr>
          <w:p w:rsidR="00156E73" w:rsidRPr="00BD5BB8" w:rsidRDefault="00156E73" w:rsidP="001C3639">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242 452</w:t>
            </w:r>
          </w:p>
        </w:tc>
      </w:tr>
    </w:tbl>
    <w:p w:rsidR="00156E73" w:rsidRPr="00BD5BB8" w:rsidRDefault="00156E73" w:rsidP="00156E73">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 </w:t>
      </w:r>
    </w:p>
    <w:p w:rsidR="00156E73" w:rsidRPr="00BD5BB8" w:rsidRDefault="00156E73" w:rsidP="00156E73">
      <w:pPr>
        <w:spacing w:after="0" w:line="240" w:lineRule="auto"/>
        <w:ind w:firstLine="720"/>
        <w:jc w:val="both"/>
        <w:rPr>
          <w:rFonts w:ascii="Times New Roman" w:eastAsia="Times New Roman" w:hAnsi="Times New Roman" w:cs="Times New Roman"/>
          <w:sz w:val="24"/>
          <w:szCs w:val="24"/>
          <w:lang w:eastAsia="bg-BG"/>
        </w:rPr>
      </w:pPr>
      <w:r w:rsidRPr="00BD5BB8">
        <w:rPr>
          <w:rFonts w:ascii="Times New Roman" w:eastAsia="Calibri" w:hAnsi="Times New Roman" w:cs="Times New Roman"/>
          <w:b/>
          <w:sz w:val="24"/>
          <w:szCs w:val="24"/>
          <w:lang w:eastAsia="bg-BG"/>
        </w:rPr>
        <w:t xml:space="preserve">Лекарите специалисти осъществяват определен обем прегледи и изследвания при профилактика на лицата от рисковите групи, формирани от личния лекар. </w:t>
      </w:r>
      <w:r w:rsidRPr="00BD5BB8">
        <w:rPr>
          <w:rFonts w:ascii="Times New Roman" w:eastAsia="Times New Roman" w:hAnsi="Times New Roman" w:cs="Times New Roman"/>
          <w:sz w:val="24"/>
          <w:szCs w:val="24"/>
          <w:lang w:eastAsia="bg-BG"/>
        </w:rPr>
        <w:t>Наблюдението на здравноосигурените лица над 18-годишна възраст от рискови групи се извършва от лекари със специалност „Вътрешни болести“, „Гастроентерология“, „Урология“, „Ендокринология и болести на обмяната“, „Кардиология“, „Хирургия“ и „Акушерство и гинекология“.</w:t>
      </w:r>
    </w:p>
    <w:tbl>
      <w:tblPr>
        <w:tblpPr w:leftFromText="141" w:rightFromText="141" w:vertAnchor="text" w:tblpY="1"/>
        <w:tblOverlap w:val="never"/>
        <w:tblW w:w="4253" w:type="dxa"/>
        <w:tblInd w:w="93" w:type="dxa"/>
        <w:tblLook w:val="04A0" w:firstRow="1" w:lastRow="0" w:firstColumn="1" w:lastColumn="0" w:noHBand="0" w:noVBand="1"/>
      </w:tblPr>
      <w:tblGrid>
        <w:gridCol w:w="1007"/>
        <w:gridCol w:w="1670"/>
        <w:gridCol w:w="1576"/>
      </w:tblGrid>
      <w:tr w:rsidR="00156E73" w:rsidRPr="00BD5BB8" w:rsidTr="00C700AC">
        <w:trPr>
          <w:trHeight w:val="1140"/>
        </w:trPr>
        <w:tc>
          <w:tcPr>
            <w:tcW w:w="4253" w:type="dxa"/>
            <w:gridSpan w:val="3"/>
            <w:tcBorders>
              <w:top w:val="nil"/>
              <w:left w:val="nil"/>
              <w:bottom w:val="nil"/>
              <w:right w:val="nil"/>
            </w:tcBorders>
            <w:shd w:val="clear" w:color="auto" w:fill="auto"/>
            <w:vAlign w:val="bottom"/>
            <w:hideMark/>
          </w:tcPr>
          <w:p w:rsidR="00156E73" w:rsidRPr="00BD5BB8" w:rsidRDefault="00156E73" w:rsidP="00156E73">
            <w:pPr>
              <w:spacing w:after="0" w:line="240" w:lineRule="auto"/>
              <w:jc w:val="both"/>
              <w:rPr>
                <w:rFonts w:ascii="Times New Roman" w:eastAsia="Times New Roman" w:hAnsi="Times New Roman" w:cs="Times New Roman"/>
                <w:b/>
                <w:bCs/>
                <w:color w:val="000000"/>
                <w:sz w:val="24"/>
                <w:szCs w:val="24"/>
              </w:rPr>
            </w:pPr>
            <w:r w:rsidRPr="00BD5BB8">
              <w:rPr>
                <w:rFonts w:ascii="Times New Roman" w:eastAsia="Times New Roman" w:hAnsi="Times New Roman" w:cs="Times New Roman"/>
                <w:b/>
                <w:bCs/>
                <w:color w:val="000000"/>
                <w:sz w:val="24"/>
                <w:szCs w:val="24"/>
              </w:rPr>
              <w:t xml:space="preserve">Брой МДД на лица над 55 г. с рискови фактори за развитие на заболяване през 2017 и 2018 г. </w:t>
            </w:r>
          </w:p>
        </w:tc>
      </w:tr>
      <w:tr w:rsidR="00156E73" w:rsidRPr="00BD5BB8" w:rsidTr="00A33D0E">
        <w:trPr>
          <w:trHeight w:val="693"/>
        </w:trPr>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Година</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Тип направление</w:t>
            </w:r>
          </w:p>
        </w:tc>
        <w:tc>
          <w:tcPr>
            <w:tcW w:w="1576" w:type="dxa"/>
            <w:tcBorders>
              <w:top w:val="single" w:sz="4" w:space="0" w:color="auto"/>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Брой изследвания</w:t>
            </w:r>
          </w:p>
        </w:tc>
      </w:tr>
      <w:tr w:rsidR="00156E73" w:rsidRPr="00BD5BB8" w:rsidTr="00A33D0E">
        <w:trPr>
          <w:trHeight w:val="900"/>
        </w:trPr>
        <w:tc>
          <w:tcPr>
            <w:tcW w:w="1007" w:type="dxa"/>
            <w:tcBorders>
              <w:top w:val="nil"/>
              <w:left w:val="single" w:sz="4" w:space="0" w:color="auto"/>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2017</w:t>
            </w:r>
          </w:p>
        </w:tc>
        <w:tc>
          <w:tcPr>
            <w:tcW w:w="1670"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Тип 7 - профилактика на ЗОЛ над 18 г.</w:t>
            </w:r>
          </w:p>
        </w:tc>
        <w:tc>
          <w:tcPr>
            <w:tcW w:w="1576" w:type="dxa"/>
            <w:tcBorders>
              <w:top w:val="nil"/>
              <w:left w:val="nil"/>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2 423 138</w:t>
            </w:r>
          </w:p>
        </w:tc>
      </w:tr>
      <w:tr w:rsidR="00156E73" w:rsidRPr="00BD5BB8" w:rsidTr="00A33D0E">
        <w:trPr>
          <w:trHeight w:val="900"/>
        </w:trPr>
        <w:tc>
          <w:tcPr>
            <w:tcW w:w="1007" w:type="dxa"/>
            <w:tcBorders>
              <w:top w:val="nil"/>
              <w:left w:val="single" w:sz="4" w:space="0" w:color="auto"/>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2018</w:t>
            </w:r>
          </w:p>
        </w:tc>
        <w:tc>
          <w:tcPr>
            <w:tcW w:w="1670"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Тип 7 - профилактика на ЗОЛ над 18 г.</w:t>
            </w:r>
          </w:p>
        </w:tc>
        <w:tc>
          <w:tcPr>
            <w:tcW w:w="1576" w:type="dxa"/>
            <w:tcBorders>
              <w:top w:val="nil"/>
              <w:left w:val="nil"/>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2 322 192</w:t>
            </w:r>
          </w:p>
        </w:tc>
      </w:tr>
    </w:tbl>
    <w:p w:rsidR="00156E73" w:rsidRPr="00BD5BB8" w:rsidRDefault="00156E73" w:rsidP="00156E73">
      <w:pPr>
        <w:spacing w:after="0" w:line="240" w:lineRule="auto"/>
        <w:jc w:val="both"/>
        <w:rPr>
          <w:rFonts w:ascii="Times New Roman" w:eastAsia="Times New Roman" w:hAnsi="Times New Roman" w:cs="Times New Roman"/>
          <w:b/>
          <w:bCs/>
          <w:color w:val="000000"/>
          <w:sz w:val="24"/>
          <w:szCs w:val="24"/>
        </w:rPr>
      </w:pPr>
    </w:p>
    <w:p w:rsidR="00156E73" w:rsidRPr="00BD5BB8" w:rsidRDefault="00156E73" w:rsidP="001C3639">
      <w:pPr>
        <w:spacing w:after="0" w:line="240" w:lineRule="auto"/>
        <w:jc w:val="both"/>
        <w:rPr>
          <w:rFonts w:ascii="Times New Roman" w:eastAsia="Times New Roman" w:hAnsi="Times New Roman" w:cs="Times New Roman"/>
          <w:b/>
          <w:bCs/>
          <w:color w:val="000000"/>
          <w:sz w:val="24"/>
          <w:szCs w:val="24"/>
        </w:rPr>
      </w:pPr>
      <w:r w:rsidRPr="00BD5BB8">
        <w:rPr>
          <w:rFonts w:ascii="Times New Roman" w:eastAsia="Times New Roman" w:hAnsi="Times New Roman" w:cs="Times New Roman"/>
          <w:b/>
          <w:bCs/>
          <w:color w:val="000000"/>
          <w:sz w:val="24"/>
          <w:szCs w:val="24"/>
        </w:rPr>
        <w:t>Брой МДД на лица над 55 г. по повод диспансерни прегледи през</w:t>
      </w:r>
      <w:r w:rsidR="00A33D0E" w:rsidRPr="00BD5BB8">
        <w:rPr>
          <w:rFonts w:ascii="Times New Roman" w:eastAsia="Times New Roman" w:hAnsi="Times New Roman" w:cs="Times New Roman"/>
          <w:b/>
          <w:bCs/>
          <w:color w:val="000000"/>
          <w:sz w:val="24"/>
          <w:szCs w:val="24"/>
        </w:rPr>
        <w:t xml:space="preserve"> 2017</w:t>
      </w:r>
      <w:r w:rsidRPr="00BD5BB8">
        <w:rPr>
          <w:rFonts w:ascii="Times New Roman" w:eastAsia="Times New Roman" w:hAnsi="Times New Roman" w:cs="Times New Roman"/>
          <w:b/>
          <w:bCs/>
          <w:color w:val="000000"/>
          <w:sz w:val="24"/>
          <w:szCs w:val="24"/>
        </w:rPr>
        <w:t xml:space="preserve"> и 2018 г. </w:t>
      </w:r>
    </w:p>
    <w:p w:rsidR="00A33D0E" w:rsidRPr="00BD5BB8" w:rsidRDefault="00A33D0E" w:rsidP="00156E73">
      <w:pPr>
        <w:spacing w:after="0" w:line="240" w:lineRule="auto"/>
        <w:jc w:val="both"/>
        <w:rPr>
          <w:rFonts w:ascii="Times New Roman" w:eastAsia="Times New Roman" w:hAnsi="Times New Roman" w:cs="Times New Roman"/>
          <w:b/>
          <w:bCs/>
          <w:color w:val="000000"/>
          <w:sz w:val="24"/>
          <w:szCs w:val="24"/>
        </w:rPr>
      </w:pPr>
    </w:p>
    <w:tbl>
      <w:tblPr>
        <w:tblW w:w="4693" w:type="dxa"/>
        <w:tblInd w:w="93" w:type="dxa"/>
        <w:tblLayout w:type="fixed"/>
        <w:tblLook w:val="04A0" w:firstRow="1" w:lastRow="0" w:firstColumn="1" w:lastColumn="0" w:noHBand="0" w:noVBand="1"/>
      </w:tblPr>
      <w:tblGrid>
        <w:gridCol w:w="1575"/>
        <w:gridCol w:w="1685"/>
        <w:gridCol w:w="1433"/>
      </w:tblGrid>
      <w:tr w:rsidR="00156E73" w:rsidRPr="00BD5BB8" w:rsidTr="00A33D0E">
        <w:trPr>
          <w:trHeight w:val="703"/>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Година</w:t>
            </w:r>
          </w:p>
        </w:tc>
        <w:tc>
          <w:tcPr>
            <w:tcW w:w="1685" w:type="dxa"/>
            <w:tcBorders>
              <w:top w:val="single" w:sz="4" w:space="0" w:color="auto"/>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Тип направление</w:t>
            </w:r>
          </w:p>
        </w:tc>
        <w:tc>
          <w:tcPr>
            <w:tcW w:w="1433" w:type="dxa"/>
            <w:tcBorders>
              <w:top w:val="single" w:sz="4" w:space="0" w:color="auto"/>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ind w:left="-92" w:right="-108"/>
              <w:jc w:val="center"/>
              <w:rPr>
                <w:rFonts w:ascii="Times New Roman" w:eastAsia="Times New Roman" w:hAnsi="Times New Roman" w:cs="Times New Roman"/>
                <w:b/>
                <w:bCs/>
                <w:color w:val="000000"/>
                <w:sz w:val="20"/>
                <w:szCs w:val="20"/>
              </w:rPr>
            </w:pPr>
            <w:r w:rsidRPr="00BD5BB8">
              <w:rPr>
                <w:rFonts w:ascii="Times New Roman" w:eastAsia="Times New Roman" w:hAnsi="Times New Roman" w:cs="Times New Roman"/>
                <w:b/>
                <w:bCs/>
                <w:color w:val="000000"/>
                <w:sz w:val="20"/>
                <w:szCs w:val="20"/>
              </w:rPr>
              <w:t>Брой изследвания</w:t>
            </w:r>
          </w:p>
        </w:tc>
      </w:tr>
      <w:tr w:rsidR="00156E73" w:rsidRPr="00BD5BB8" w:rsidTr="00A33D0E">
        <w:trPr>
          <w:trHeight w:val="927"/>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2017</w:t>
            </w:r>
          </w:p>
        </w:tc>
        <w:tc>
          <w:tcPr>
            <w:tcW w:w="1685"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Тип 4 - диспансерно наблюдение</w:t>
            </w:r>
          </w:p>
        </w:tc>
        <w:tc>
          <w:tcPr>
            <w:tcW w:w="1433"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4 220 481</w:t>
            </w:r>
          </w:p>
        </w:tc>
      </w:tr>
      <w:tr w:rsidR="00156E73" w:rsidRPr="00BD5BB8" w:rsidTr="00A33D0E">
        <w:trPr>
          <w:trHeight w:val="901"/>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2018</w:t>
            </w:r>
          </w:p>
        </w:tc>
        <w:tc>
          <w:tcPr>
            <w:tcW w:w="1685"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Тип 4 - диспансерно наблюдение</w:t>
            </w:r>
          </w:p>
        </w:tc>
        <w:tc>
          <w:tcPr>
            <w:tcW w:w="1433" w:type="dxa"/>
            <w:tcBorders>
              <w:top w:val="nil"/>
              <w:left w:val="nil"/>
              <w:bottom w:val="single" w:sz="4" w:space="0" w:color="auto"/>
              <w:right w:val="single" w:sz="4" w:space="0" w:color="auto"/>
            </w:tcBorders>
            <w:shd w:val="clear" w:color="auto" w:fill="auto"/>
            <w:noWrap/>
            <w:vAlign w:val="center"/>
            <w:hideMark/>
          </w:tcPr>
          <w:p w:rsidR="00156E73" w:rsidRPr="00BD5BB8" w:rsidRDefault="00156E73" w:rsidP="00A33D0E">
            <w:pPr>
              <w:spacing w:after="0" w:line="240" w:lineRule="auto"/>
              <w:jc w:val="center"/>
              <w:rPr>
                <w:rFonts w:ascii="Times New Roman" w:eastAsia="Times New Roman" w:hAnsi="Times New Roman" w:cs="Times New Roman"/>
                <w:color w:val="000000"/>
                <w:sz w:val="20"/>
                <w:szCs w:val="20"/>
              </w:rPr>
            </w:pPr>
            <w:r w:rsidRPr="00BD5BB8">
              <w:rPr>
                <w:rFonts w:ascii="Times New Roman" w:eastAsia="Times New Roman" w:hAnsi="Times New Roman" w:cs="Times New Roman"/>
                <w:color w:val="000000"/>
                <w:sz w:val="20"/>
                <w:szCs w:val="20"/>
              </w:rPr>
              <w:t>4 334 866</w:t>
            </w:r>
          </w:p>
        </w:tc>
      </w:tr>
    </w:tbl>
    <w:p w:rsidR="00156E73" w:rsidRPr="00BD5BB8" w:rsidRDefault="00156E73" w:rsidP="00156E73">
      <w:pPr>
        <w:tabs>
          <w:tab w:val="left" w:pos="1230"/>
        </w:tabs>
        <w:spacing w:after="0" w:line="240" w:lineRule="auto"/>
        <w:ind w:firstLine="708"/>
        <w:jc w:val="both"/>
        <w:rPr>
          <w:rFonts w:ascii="Times New Roman" w:eastAsia="Calibri" w:hAnsi="Times New Roman" w:cs="Times New Roman"/>
          <w:b/>
          <w:sz w:val="24"/>
          <w:szCs w:val="24"/>
        </w:rPr>
      </w:pPr>
    </w:p>
    <w:p w:rsidR="00156E73" w:rsidRPr="00BD5BB8" w:rsidRDefault="00156E73" w:rsidP="00156E73">
      <w:pPr>
        <w:tabs>
          <w:tab w:val="left" w:pos="1230"/>
        </w:tabs>
        <w:spacing w:after="0" w:line="240" w:lineRule="auto"/>
        <w:ind w:firstLine="708"/>
        <w:jc w:val="both"/>
        <w:rPr>
          <w:rFonts w:ascii="Times New Roman" w:eastAsia="Calibri" w:hAnsi="Times New Roman" w:cs="Times New Roman"/>
          <w:sz w:val="24"/>
          <w:szCs w:val="24"/>
          <w:lang w:eastAsia="bg-BG"/>
        </w:rPr>
      </w:pPr>
      <w:r w:rsidRPr="00BD5BB8">
        <w:rPr>
          <w:rFonts w:ascii="Times New Roman" w:eastAsia="Calibri" w:hAnsi="Times New Roman" w:cs="Times New Roman"/>
          <w:b/>
          <w:sz w:val="24"/>
          <w:szCs w:val="24"/>
        </w:rPr>
        <w:t>НЗОК заплаща диспансерно наблюдение (прегледи) и медико-диагностични дейности по повод това наблюдение на здравноосигурени лица, които в по-</w:t>
      </w:r>
      <w:r w:rsidRPr="00BD5BB8">
        <w:rPr>
          <w:rFonts w:ascii="Times New Roman" w:eastAsia="Calibri" w:hAnsi="Times New Roman" w:cs="Times New Roman"/>
          <w:b/>
          <w:sz w:val="24"/>
          <w:szCs w:val="24"/>
        </w:rPr>
        <w:lastRenderedPageBreak/>
        <w:t>голямата си част са възрастни хора, с едно или с повече хронични заболявания</w:t>
      </w:r>
      <w:r w:rsidRPr="00BD5BB8">
        <w:rPr>
          <w:rFonts w:ascii="Times New Roman" w:eastAsia="Calibri" w:hAnsi="Times New Roman" w:cs="Times New Roman"/>
          <w:sz w:val="24"/>
          <w:szCs w:val="24"/>
        </w:rPr>
        <w:t>, диспансеризирани от общопрактикуващия (личния) лекар или от лекар специалист по профила на заболяването. Когато в определени случаи, за едни от заболяванията някои от лицата подлежат на диспансерно наблюдение от личния лекар, а за други - от лекар специалист, те се диспансеризират (със съответните медицински дейности и изследвания по вид, обем и честота) за всички заболявания, изцяло от личния лекар.</w:t>
      </w: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НЗОК осигурява и комплексното диспансерно (амбулаторно) наблюдение на лица с психични и кожно-венерически заболявания. </w:t>
      </w: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Диспансеризацията на пациенти с хронични заболявания има за цел проследяване на здравословното състояние на лицата за сърдечно-съдови заболявания и/или захарен диабет и резултатите от проведеното лечение. В тези случаи се предприемат съответни мерки, включително промяна в терапията и/или назначаване на консултация с лекар специалист.</w:t>
      </w:r>
    </w:p>
    <w:p w:rsidR="00C700AC" w:rsidRPr="00BD5BB8" w:rsidRDefault="00C700AC" w:rsidP="00C700AC">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Брой диспансерни прегледи на ЗОЛ над 55-годишна възраст през 2017 г. и 2018 г.</w:t>
      </w:r>
    </w:p>
    <w:p w:rsidR="001C3639" w:rsidRPr="00BD5BB8" w:rsidRDefault="001C3639" w:rsidP="00C700AC">
      <w:pPr>
        <w:spacing w:after="0" w:line="240" w:lineRule="auto"/>
        <w:jc w:val="center"/>
        <w:rPr>
          <w:rFonts w:ascii="Times New Roman" w:eastAsia="Calibri" w:hAnsi="Times New Roman" w:cs="Times New Roman"/>
          <w:sz w:val="24"/>
          <w:szCs w:val="24"/>
        </w:rPr>
      </w:pPr>
    </w:p>
    <w:tbl>
      <w:tblPr>
        <w:tblW w:w="9087" w:type="dxa"/>
        <w:tblInd w:w="93" w:type="dxa"/>
        <w:tblLayout w:type="fixed"/>
        <w:tblLook w:val="04A0" w:firstRow="1" w:lastRow="0" w:firstColumn="1" w:lastColumn="0" w:noHBand="0" w:noVBand="1"/>
      </w:tblPr>
      <w:tblGrid>
        <w:gridCol w:w="1716"/>
        <w:gridCol w:w="1843"/>
        <w:gridCol w:w="1701"/>
        <w:gridCol w:w="1701"/>
        <w:gridCol w:w="2126"/>
      </w:tblGrid>
      <w:tr w:rsidR="00156E73" w:rsidRPr="00BD5BB8" w:rsidTr="001C3639">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година</w:t>
            </w:r>
          </w:p>
        </w:tc>
        <w:tc>
          <w:tcPr>
            <w:tcW w:w="3544"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2017 г.</w:t>
            </w:r>
          </w:p>
        </w:tc>
        <w:tc>
          <w:tcPr>
            <w:tcW w:w="3827"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2018 г.</w:t>
            </w:r>
          </w:p>
        </w:tc>
      </w:tr>
      <w:tr w:rsidR="00156E73" w:rsidRPr="00BD5BB8" w:rsidTr="001C3639">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пол</w:t>
            </w:r>
          </w:p>
        </w:tc>
        <w:tc>
          <w:tcPr>
            <w:tcW w:w="1843"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мъже</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жени</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мъже</w:t>
            </w:r>
          </w:p>
        </w:tc>
        <w:tc>
          <w:tcPr>
            <w:tcW w:w="2126"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жени</w:t>
            </w:r>
          </w:p>
        </w:tc>
      </w:tr>
      <w:tr w:rsidR="00156E73" w:rsidRPr="00BD5BB8" w:rsidTr="001C3639">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sz w:val="24"/>
                <w:szCs w:val="24"/>
              </w:rPr>
            </w:pPr>
            <w:r w:rsidRPr="00BD5BB8">
              <w:rPr>
                <w:rFonts w:ascii="Times New Roman" w:eastAsia="Times New Roman" w:hAnsi="Times New Roman" w:cs="Times New Roman"/>
                <w:b/>
                <w:color w:val="000000"/>
                <w:sz w:val="24"/>
                <w:szCs w:val="24"/>
              </w:rPr>
              <w:t>брой</w:t>
            </w:r>
          </w:p>
        </w:tc>
        <w:tc>
          <w:tcPr>
            <w:tcW w:w="1843"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C700AC">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1</w:t>
            </w:r>
            <w:r w:rsidR="00C700AC" w:rsidRPr="00BD5BB8">
              <w:rPr>
                <w:rFonts w:ascii="Times New Roman" w:eastAsia="Times New Roman" w:hAnsi="Times New Roman" w:cs="Times New Roman"/>
                <w:color w:val="000000"/>
                <w:sz w:val="24"/>
                <w:szCs w:val="24"/>
              </w:rPr>
              <w:t> </w:t>
            </w:r>
            <w:r w:rsidRPr="00BD5BB8">
              <w:rPr>
                <w:rFonts w:ascii="Times New Roman" w:eastAsia="Times New Roman" w:hAnsi="Times New Roman" w:cs="Times New Roman"/>
                <w:color w:val="000000"/>
                <w:sz w:val="24"/>
                <w:szCs w:val="24"/>
              </w:rPr>
              <w:t>745</w:t>
            </w:r>
            <w:r w:rsidR="00C700AC" w:rsidRPr="00BD5BB8">
              <w:rPr>
                <w:rFonts w:ascii="Times New Roman" w:eastAsia="Times New Roman" w:hAnsi="Times New Roman" w:cs="Times New Roman"/>
                <w:color w:val="000000"/>
                <w:sz w:val="24"/>
                <w:szCs w:val="24"/>
              </w:rPr>
              <w:t xml:space="preserve"> </w:t>
            </w:r>
            <w:r w:rsidRPr="00BD5BB8">
              <w:rPr>
                <w:rFonts w:ascii="Times New Roman" w:eastAsia="Times New Roman" w:hAnsi="Times New Roman" w:cs="Times New Roman"/>
                <w:color w:val="000000"/>
                <w:sz w:val="24"/>
                <w:szCs w:val="24"/>
              </w:rPr>
              <w:t>421</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C700AC">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2</w:t>
            </w:r>
            <w:r w:rsidR="00C700AC" w:rsidRPr="00BD5BB8">
              <w:rPr>
                <w:rFonts w:ascii="Times New Roman" w:eastAsia="Times New Roman" w:hAnsi="Times New Roman" w:cs="Times New Roman"/>
                <w:color w:val="000000"/>
                <w:sz w:val="24"/>
                <w:szCs w:val="24"/>
              </w:rPr>
              <w:t> </w:t>
            </w:r>
            <w:r w:rsidRPr="00BD5BB8">
              <w:rPr>
                <w:rFonts w:ascii="Times New Roman" w:eastAsia="Times New Roman" w:hAnsi="Times New Roman" w:cs="Times New Roman"/>
                <w:color w:val="000000"/>
                <w:sz w:val="24"/>
                <w:szCs w:val="24"/>
              </w:rPr>
              <w:t>609</w:t>
            </w:r>
            <w:r w:rsidR="00C700AC" w:rsidRPr="00BD5BB8">
              <w:rPr>
                <w:rFonts w:ascii="Times New Roman" w:eastAsia="Times New Roman" w:hAnsi="Times New Roman" w:cs="Times New Roman"/>
                <w:color w:val="000000"/>
                <w:sz w:val="24"/>
                <w:szCs w:val="24"/>
              </w:rPr>
              <w:t xml:space="preserve"> </w:t>
            </w:r>
            <w:r w:rsidRPr="00BD5BB8">
              <w:rPr>
                <w:rFonts w:ascii="Times New Roman" w:eastAsia="Times New Roman" w:hAnsi="Times New Roman" w:cs="Times New Roman"/>
                <w:color w:val="000000"/>
                <w:sz w:val="24"/>
                <w:szCs w:val="24"/>
              </w:rPr>
              <w:t>367</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C700AC">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1</w:t>
            </w:r>
            <w:r w:rsidR="00C700AC" w:rsidRPr="00BD5BB8">
              <w:rPr>
                <w:rFonts w:ascii="Times New Roman" w:eastAsia="Times New Roman" w:hAnsi="Times New Roman" w:cs="Times New Roman"/>
                <w:color w:val="000000"/>
                <w:sz w:val="24"/>
                <w:szCs w:val="24"/>
              </w:rPr>
              <w:t> </w:t>
            </w:r>
            <w:r w:rsidRPr="00BD5BB8">
              <w:rPr>
                <w:rFonts w:ascii="Times New Roman" w:eastAsia="Times New Roman" w:hAnsi="Times New Roman" w:cs="Times New Roman"/>
                <w:color w:val="000000"/>
                <w:sz w:val="24"/>
                <w:szCs w:val="24"/>
              </w:rPr>
              <w:t>804</w:t>
            </w:r>
            <w:r w:rsidR="00C700AC" w:rsidRPr="00BD5BB8">
              <w:rPr>
                <w:rFonts w:ascii="Times New Roman" w:eastAsia="Times New Roman" w:hAnsi="Times New Roman" w:cs="Times New Roman"/>
                <w:color w:val="000000"/>
                <w:sz w:val="24"/>
                <w:szCs w:val="24"/>
              </w:rPr>
              <w:t xml:space="preserve"> </w:t>
            </w:r>
            <w:r w:rsidRPr="00BD5BB8">
              <w:rPr>
                <w:rFonts w:ascii="Times New Roman" w:eastAsia="Times New Roman" w:hAnsi="Times New Roman" w:cs="Times New Roman"/>
                <w:color w:val="000000"/>
                <w:sz w:val="24"/>
                <w:szCs w:val="24"/>
              </w:rPr>
              <w:t>990</w:t>
            </w:r>
          </w:p>
        </w:tc>
        <w:tc>
          <w:tcPr>
            <w:tcW w:w="2126" w:type="dxa"/>
            <w:tcBorders>
              <w:top w:val="nil"/>
              <w:left w:val="nil"/>
              <w:bottom w:val="single" w:sz="4" w:space="0" w:color="auto"/>
              <w:right w:val="single" w:sz="4" w:space="0" w:color="auto"/>
            </w:tcBorders>
            <w:shd w:val="clear" w:color="auto" w:fill="auto"/>
            <w:noWrap/>
            <w:vAlign w:val="bottom"/>
            <w:hideMark/>
          </w:tcPr>
          <w:p w:rsidR="00156E73" w:rsidRPr="00BD5BB8" w:rsidRDefault="00C700AC" w:rsidP="00156E73">
            <w:pPr>
              <w:spacing w:after="0" w:line="240" w:lineRule="auto"/>
              <w:jc w:val="center"/>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 xml:space="preserve">2 687 </w:t>
            </w:r>
            <w:r w:rsidR="00156E73" w:rsidRPr="00BD5BB8">
              <w:rPr>
                <w:rFonts w:ascii="Times New Roman" w:eastAsia="Times New Roman" w:hAnsi="Times New Roman" w:cs="Times New Roman"/>
                <w:color w:val="000000"/>
                <w:sz w:val="24"/>
                <w:szCs w:val="24"/>
              </w:rPr>
              <w:t>944</w:t>
            </w:r>
          </w:p>
        </w:tc>
      </w:tr>
    </w:tbl>
    <w:p w:rsidR="00156E73" w:rsidRPr="00BD5BB8" w:rsidRDefault="00156E73" w:rsidP="00156E73">
      <w:pPr>
        <w:spacing w:after="0" w:line="240" w:lineRule="auto"/>
        <w:rPr>
          <w:rFonts w:ascii="Times New Roman" w:eastAsia="Times New Roman" w:hAnsi="Times New Roman" w:cs="Times New Roman"/>
          <w:sz w:val="24"/>
          <w:szCs w:val="24"/>
          <w:lang w:eastAsia="bg-BG"/>
        </w:rPr>
      </w:pP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С цел подобряване на денталното здраве и качество на живот на възрастните хора</w:t>
      </w:r>
      <w:r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b/>
          <w:sz w:val="24"/>
          <w:szCs w:val="24"/>
        </w:rPr>
        <w:t>от 1 септември 2018 г. в пакета здравни дейности, гарантиран от бюджета на НЗОК за денталната извънболнична медицинска помощ</w:t>
      </w:r>
      <w:r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b/>
          <w:sz w:val="24"/>
          <w:szCs w:val="24"/>
        </w:rPr>
        <w:t>е включена нова дейност</w:t>
      </w:r>
      <w:r w:rsidRPr="00BD5BB8">
        <w:rPr>
          <w:rFonts w:ascii="Times New Roman" w:eastAsia="Calibri" w:hAnsi="Times New Roman" w:cs="Times New Roman"/>
          <w:sz w:val="24"/>
          <w:szCs w:val="24"/>
        </w:rPr>
        <w:t xml:space="preserve"> по възстановяване функцията на дъвкателния апарат при цялостна обеззъбена горна и/или долна челюст с горна и/или долна цяла плакова зъбна протеза, в т.ч. и контролни прегледи за период от 4 години – при ЗОЛ от 65 до 69-годишна възраст. </w:t>
      </w: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hAnsi="Times New Roman" w:cs="Times New Roman"/>
          <w:sz w:val="24"/>
          <w:szCs w:val="24"/>
        </w:rPr>
        <w:t xml:space="preserve">В извънболничната медицинска помощ НЗОК заплаща </w:t>
      </w:r>
      <w:r w:rsidRPr="00BD5BB8">
        <w:rPr>
          <w:rFonts w:ascii="Times New Roman" w:eastAsia="Times New Roman" w:hAnsi="Times New Roman" w:cs="Times New Roman"/>
          <w:color w:val="000000"/>
          <w:sz w:val="24"/>
          <w:szCs w:val="24"/>
          <w:lang w:eastAsia="bg-BG"/>
        </w:rPr>
        <w:t>за физиотерапевтичен курс на лечение на определено заболяване, т.е. за комплексно лечение, включващо първоначален преглед на лекаря специалист по „Физикална и рехабилитационна медицина“, с оценка на обективното състояние на пациента с назначени видове и общ брой процедури до 20 в курс по преценка на лекаря специалист, промените на лечението, както и заключителен преглед с оценка на резултатите от проведеното лечение и отразени вид и брой на проведените процедури.</w:t>
      </w:r>
    </w:p>
    <w:p w:rsidR="00156E73" w:rsidRPr="00BD5BB8" w:rsidRDefault="00156E73" w:rsidP="001C3639">
      <w:pPr>
        <w:spacing w:after="0" w:line="185" w:lineRule="atLeast"/>
        <w:ind w:firstLine="709"/>
        <w:jc w:val="both"/>
        <w:textAlignment w:val="center"/>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Във физиотерапевтичен курс на лечение се включват следните групи процедури:</w:t>
      </w:r>
    </w:p>
    <w:p w:rsidR="00156E73" w:rsidRPr="00BD5BB8" w:rsidRDefault="00156E73" w:rsidP="00156E73">
      <w:pPr>
        <w:spacing w:after="0" w:line="185" w:lineRule="atLeast"/>
        <w:ind w:firstLine="283"/>
        <w:jc w:val="both"/>
        <w:textAlignment w:val="center"/>
        <w:rPr>
          <w:rFonts w:ascii="Times New Roman" w:eastAsia="Times New Roman" w:hAnsi="Times New Roman" w:cs="Times New Roman"/>
          <w:color w:val="000000"/>
          <w:sz w:val="24"/>
          <w:szCs w:val="24"/>
          <w:lang w:eastAsia="bg-BG"/>
        </w:rPr>
      </w:pPr>
    </w:p>
    <w:p w:rsidR="00156E73" w:rsidRPr="00BD5BB8" w:rsidRDefault="00156E73" w:rsidP="00E7186B">
      <w:pPr>
        <w:numPr>
          <w:ilvl w:val="0"/>
          <w:numId w:val="29"/>
        </w:numPr>
        <w:tabs>
          <w:tab w:val="left" w:pos="1276"/>
        </w:tabs>
        <w:spacing w:after="0" w:line="185" w:lineRule="atLeast"/>
        <w:contextualSpacing/>
        <w:jc w:val="both"/>
        <w:textAlignment w:val="center"/>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група 1 – процедури с физикални фактори от апаратната терапия;</w:t>
      </w:r>
    </w:p>
    <w:p w:rsidR="00156E73" w:rsidRPr="00BD5BB8" w:rsidRDefault="00156E73" w:rsidP="00E7186B">
      <w:pPr>
        <w:numPr>
          <w:ilvl w:val="0"/>
          <w:numId w:val="29"/>
        </w:numPr>
        <w:spacing w:after="0" w:line="185" w:lineRule="atLeast"/>
        <w:contextualSpacing/>
        <w:jc w:val="both"/>
        <w:textAlignment w:val="center"/>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група 2 – процедури с кинезитерапевтични техники;</w:t>
      </w:r>
    </w:p>
    <w:p w:rsidR="00156E73" w:rsidRPr="00BD5BB8" w:rsidRDefault="00156E73" w:rsidP="00E7186B">
      <w:pPr>
        <w:numPr>
          <w:ilvl w:val="0"/>
          <w:numId w:val="29"/>
        </w:numPr>
        <w:tabs>
          <w:tab w:val="left" w:pos="567"/>
        </w:tabs>
        <w:spacing w:after="0" w:line="185" w:lineRule="atLeast"/>
        <w:ind w:left="284" w:firstLine="0"/>
        <w:contextualSpacing/>
        <w:textAlignment w:val="center"/>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 xml:space="preserve"> група  3 – процедури с физикални фактори от апаратната терапия и кинезитерапевтични техники. </w:t>
      </w:r>
    </w:p>
    <w:p w:rsidR="001C3639" w:rsidRPr="00BD5BB8" w:rsidRDefault="001C3639" w:rsidP="00156E73">
      <w:pPr>
        <w:spacing w:after="0" w:line="240" w:lineRule="auto"/>
        <w:rPr>
          <w:rFonts w:ascii="Times New Roman" w:eastAsia="Times New Roman" w:hAnsi="Times New Roman" w:cs="Times New Roman"/>
          <w:sz w:val="24"/>
          <w:szCs w:val="24"/>
          <w:lang w:eastAsia="bg-BG"/>
        </w:rPr>
      </w:pPr>
    </w:p>
    <w:p w:rsidR="001C3639" w:rsidRPr="00BD5BB8" w:rsidRDefault="001C3639" w:rsidP="001C3639">
      <w:pPr>
        <w:spacing w:after="0" w:line="240" w:lineRule="auto"/>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 xml:space="preserve">Брой  прегледи за физиотерапия и рехабилитация на ЗОЛ </w:t>
      </w:r>
    </w:p>
    <w:p w:rsidR="001C3639" w:rsidRPr="00BD5BB8" w:rsidRDefault="001C3639" w:rsidP="001C3639">
      <w:pPr>
        <w:spacing w:after="0" w:line="240" w:lineRule="auto"/>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над 55-годишна възраст през 2017 г. и 2018 г.</w:t>
      </w:r>
    </w:p>
    <w:p w:rsidR="001C3639" w:rsidRPr="00BD5BB8" w:rsidRDefault="001C3639" w:rsidP="001C3639">
      <w:pPr>
        <w:spacing w:after="0" w:line="240" w:lineRule="auto"/>
        <w:jc w:val="center"/>
        <w:rPr>
          <w:rFonts w:ascii="Times New Roman" w:eastAsia="Times New Roman" w:hAnsi="Times New Roman" w:cs="Times New Roman"/>
          <w:sz w:val="24"/>
          <w:szCs w:val="24"/>
          <w:lang w:eastAsia="bg-BG"/>
        </w:rPr>
      </w:pPr>
    </w:p>
    <w:tbl>
      <w:tblPr>
        <w:tblW w:w="8789" w:type="dxa"/>
        <w:tblInd w:w="250" w:type="dxa"/>
        <w:tblLook w:val="04A0" w:firstRow="1" w:lastRow="0" w:firstColumn="1" w:lastColumn="0" w:noHBand="0" w:noVBand="1"/>
      </w:tblPr>
      <w:tblGrid>
        <w:gridCol w:w="1701"/>
        <w:gridCol w:w="1701"/>
        <w:gridCol w:w="1701"/>
        <w:gridCol w:w="1701"/>
        <w:gridCol w:w="1985"/>
      </w:tblGrid>
      <w:tr w:rsidR="00156E73" w:rsidRPr="00BD5BB8" w:rsidTr="001C3639">
        <w:trPr>
          <w:trHeight w:val="53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rPr>
            </w:pPr>
            <w:r w:rsidRPr="00BD5BB8">
              <w:rPr>
                <w:rFonts w:ascii="Times New Roman" w:eastAsia="Times New Roman" w:hAnsi="Times New Roman" w:cs="Times New Roman"/>
                <w:b/>
                <w:color w:val="000000"/>
              </w:rPr>
              <w:t>година</w:t>
            </w:r>
          </w:p>
        </w:tc>
        <w:tc>
          <w:tcPr>
            <w:tcW w:w="3402"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rPr>
            </w:pPr>
            <w:r w:rsidRPr="00BD5BB8">
              <w:rPr>
                <w:rFonts w:ascii="Times New Roman" w:eastAsia="Times New Roman" w:hAnsi="Times New Roman" w:cs="Times New Roman"/>
                <w:b/>
                <w:color w:val="000000"/>
              </w:rPr>
              <w:t>2017 г.</w:t>
            </w:r>
          </w:p>
        </w:tc>
        <w:tc>
          <w:tcPr>
            <w:tcW w:w="3686" w:type="dxa"/>
            <w:gridSpan w:val="2"/>
            <w:tcBorders>
              <w:top w:val="single" w:sz="4" w:space="0" w:color="auto"/>
              <w:left w:val="nil"/>
              <w:bottom w:val="single" w:sz="4" w:space="0" w:color="auto"/>
              <w:right w:val="single" w:sz="4" w:space="0" w:color="auto"/>
            </w:tcBorders>
            <w:shd w:val="clear" w:color="000000" w:fill="BFBFBF"/>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rPr>
            </w:pPr>
            <w:r w:rsidRPr="00BD5BB8">
              <w:rPr>
                <w:rFonts w:ascii="Times New Roman" w:eastAsia="Times New Roman" w:hAnsi="Times New Roman" w:cs="Times New Roman"/>
                <w:b/>
                <w:color w:val="000000"/>
              </w:rPr>
              <w:t>2018 г.</w:t>
            </w:r>
          </w:p>
        </w:tc>
      </w:tr>
      <w:tr w:rsidR="00156E73" w:rsidRPr="00BD5BB8" w:rsidTr="001C3639">
        <w:trPr>
          <w:trHeight w:val="300"/>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rPr>
            </w:pPr>
            <w:r w:rsidRPr="00BD5BB8">
              <w:rPr>
                <w:rFonts w:ascii="Times New Roman" w:eastAsia="Times New Roman" w:hAnsi="Times New Roman" w:cs="Times New Roman"/>
                <w:b/>
                <w:color w:val="000000"/>
              </w:rPr>
              <w:t>пол</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мъже</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жени</w:t>
            </w:r>
          </w:p>
        </w:tc>
        <w:tc>
          <w:tcPr>
            <w:tcW w:w="1701"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мъже</w:t>
            </w:r>
          </w:p>
        </w:tc>
        <w:tc>
          <w:tcPr>
            <w:tcW w:w="1985" w:type="dxa"/>
            <w:tcBorders>
              <w:top w:val="nil"/>
              <w:left w:val="nil"/>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жени</w:t>
            </w:r>
          </w:p>
        </w:tc>
      </w:tr>
      <w:tr w:rsidR="00156E73" w:rsidRPr="00BD5BB8" w:rsidTr="001C3639">
        <w:trPr>
          <w:trHeight w:val="300"/>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000000"/>
              </w:rPr>
            </w:pPr>
            <w:r w:rsidRPr="00BD5BB8">
              <w:rPr>
                <w:rFonts w:ascii="Times New Roman" w:eastAsia="Times New Roman" w:hAnsi="Times New Roman" w:cs="Times New Roman"/>
                <w:b/>
                <w:color w:val="000000"/>
              </w:rPr>
              <w:t>брой</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115 764</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285 411</w:t>
            </w:r>
          </w:p>
        </w:tc>
        <w:tc>
          <w:tcPr>
            <w:tcW w:w="1701"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127 143</w:t>
            </w:r>
          </w:p>
        </w:tc>
        <w:tc>
          <w:tcPr>
            <w:tcW w:w="1985" w:type="dxa"/>
            <w:tcBorders>
              <w:top w:val="nil"/>
              <w:left w:val="nil"/>
              <w:bottom w:val="single" w:sz="4" w:space="0" w:color="auto"/>
              <w:right w:val="single" w:sz="4" w:space="0" w:color="auto"/>
            </w:tcBorders>
            <w:shd w:val="clear" w:color="auto" w:fill="auto"/>
            <w:noWrap/>
            <w:vAlign w:val="bottom"/>
            <w:hideMark/>
          </w:tcPr>
          <w:p w:rsidR="00156E73" w:rsidRPr="00BD5BB8" w:rsidRDefault="00156E73" w:rsidP="00156E73">
            <w:pPr>
              <w:spacing w:after="0" w:line="240" w:lineRule="auto"/>
              <w:jc w:val="center"/>
              <w:rPr>
                <w:rFonts w:ascii="Times New Roman" w:eastAsia="Times New Roman" w:hAnsi="Times New Roman" w:cs="Times New Roman"/>
                <w:color w:val="000000"/>
              </w:rPr>
            </w:pPr>
            <w:r w:rsidRPr="00BD5BB8">
              <w:rPr>
                <w:rFonts w:ascii="Times New Roman" w:eastAsia="Times New Roman" w:hAnsi="Times New Roman" w:cs="Times New Roman"/>
                <w:color w:val="000000"/>
              </w:rPr>
              <w:t>310 090</w:t>
            </w:r>
          </w:p>
        </w:tc>
      </w:tr>
    </w:tbl>
    <w:p w:rsidR="00156E73" w:rsidRPr="00BD5BB8" w:rsidRDefault="00156E73" w:rsidP="00156E73">
      <w:pPr>
        <w:spacing w:after="0" w:line="240" w:lineRule="auto"/>
        <w:jc w:val="both"/>
        <w:rPr>
          <w:rFonts w:ascii="Times New Roman" w:hAnsi="Times New Roman" w:cs="Times New Roman"/>
          <w:b/>
          <w:sz w:val="24"/>
          <w:szCs w:val="24"/>
        </w:rPr>
      </w:pP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hAnsi="Times New Roman" w:cs="Times New Roman"/>
          <w:b/>
          <w:sz w:val="24"/>
          <w:szCs w:val="24"/>
        </w:rPr>
        <w:lastRenderedPageBreak/>
        <w:t>По отношение на получаването на лекарства по линия на НЗОК са предвидени някои възможности, които значително улесняват здравноосигурените граждани, и най-вече възрастните хора.</w:t>
      </w:r>
      <w:r w:rsidRPr="00BD5BB8">
        <w:rPr>
          <w:rFonts w:ascii="Times New Roman" w:hAnsi="Times New Roman" w:cs="Times New Roman"/>
          <w:sz w:val="24"/>
          <w:szCs w:val="24"/>
        </w:rPr>
        <w:t xml:space="preserve"> Например рецептите, с които са предписани медицински изделия и диетични храни за специални медицински цели, могат да се изпълняват в аптеки, работещи по договор с НЗОК, без оглед на тяхното местоположение или на избора на общопрактикуващ лекар. Предвидена е и възможност, когато на здравноосигурени лица </w:t>
      </w:r>
      <w:r w:rsidRPr="00BD5BB8">
        <w:rPr>
          <w:rFonts w:ascii="Times New Roman" w:eastAsia="Times New Roman" w:hAnsi="Times New Roman" w:cs="Times New Roman"/>
          <w:sz w:val="24"/>
          <w:szCs w:val="24"/>
          <w:lang w:eastAsia="bg-BG"/>
        </w:rPr>
        <w:t>се налага да пребивават в населено място извън постоянното им местоживеене (за период от 1 до 5 месеца),</w:t>
      </w:r>
      <w:r w:rsidRPr="00BD5BB8">
        <w:rPr>
          <w:rFonts w:ascii="Times New Roman" w:eastAsia="Calibri" w:hAnsi="Times New Roman" w:cs="Times New Roman"/>
          <w:sz w:val="24"/>
          <w:szCs w:val="24"/>
        </w:rPr>
        <w:t xml:space="preserve"> </w:t>
      </w:r>
      <w:r w:rsidRPr="00BD5BB8">
        <w:rPr>
          <w:rFonts w:ascii="Times New Roman" w:eastAsia="Times New Roman" w:hAnsi="Times New Roman" w:cs="Times New Roman"/>
          <w:sz w:val="24"/>
          <w:szCs w:val="24"/>
          <w:lang w:eastAsia="bg-BG"/>
        </w:rPr>
        <w:t xml:space="preserve">също да могат да получават лекарства за хроничното си заболяване. За целта, в повечето случаи те извършват </w:t>
      </w:r>
      <w:r w:rsidRPr="00BD5BB8">
        <w:rPr>
          <w:rFonts w:ascii="Times New Roman" w:eastAsia="Calibri" w:hAnsi="Times New Roman" w:cs="Times New Roman"/>
          <w:sz w:val="24"/>
          <w:szCs w:val="24"/>
        </w:rPr>
        <w:t xml:space="preserve">временен избор на общопрактикуващ лекар, и ако не е възникнала необходимост от издаване на нова рецептурна книжка или не се налага включване/изключване на диагнози в нея, не е необходимо да презаверяват рецептурната книжка в РЗОК, където временно са избрали личен лекар. </w:t>
      </w:r>
    </w:p>
    <w:p w:rsidR="00156E73" w:rsidRPr="00BD5BB8" w:rsidRDefault="00156E73" w:rsidP="00156E73">
      <w:pPr>
        <w:spacing w:after="0" w:line="240" w:lineRule="auto"/>
        <w:ind w:firstLine="709"/>
        <w:jc w:val="both"/>
        <w:rPr>
          <w:rFonts w:ascii="Times New Roman" w:eastAsia="Times New Roman" w:hAnsi="Times New Roman" w:cs="Times New Roman"/>
          <w:sz w:val="24"/>
          <w:szCs w:val="24"/>
        </w:rPr>
      </w:pPr>
      <w:r w:rsidRPr="00BD5BB8">
        <w:rPr>
          <w:rFonts w:ascii="Times New Roman" w:eastAsia="Calibri" w:hAnsi="Times New Roman" w:cs="Times New Roman"/>
          <w:sz w:val="24"/>
          <w:szCs w:val="24"/>
        </w:rPr>
        <w:t xml:space="preserve"> </w:t>
      </w:r>
      <w:r w:rsidRPr="00BD5BB8">
        <w:rPr>
          <w:rFonts w:ascii="Times New Roman" w:eastAsia="Times New Roman" w:hAnsi="Times New Roman" w:cs="Times New Roman"/>
          <w:b/>
          <w:sz w:val="24"/>
          <w:szCs w:val="24"/>
          <w:lang w:eastAsia="bg-BG"/>
        </w:rPr>
        <w:t>С цел зачитане на самоопределянето и достойнството като основни ценности до края на живота на човек, и особено дългосрочните грижи и социална защита на хората с болестта на Алцхаймер и други деменции,</w:t>
      </w:r>
      <w:r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b/>
          <w:sz w:val="24"/>
          <w:szCs w:val="24"/>
          <w:lang w:eastAsia="bg-BG"/>
        </w:rPr>
        <w:t xml:space="preserve">НЗОК </w:t>
      </w:r>
      <w:r w:rsidRPr="00BD5BB8">
        <w:rPr>
          <w:rFonts w:ascii="Times New Roman" w:hAnsi="Times New Roman" w:cs="Times New Roman"/>
          <w:sz w:val="24"/>
          <w:szCs w:val="24"/>
        </w:rPr>
        <w:t xml:space="preserve">реимбурсира различни лекарствени продукти </w:t>
      </w:r>
      <w:r w:rsidRPr="00BD5BB8">
        <w:rPr>
          <w:rFonts w:ascii="Times New Roman" w:eastAsia="Times New Roman" w:hAnsi="Times New Roman" w:cs="Times New Roman"/>
          <w:sz w:val="24"/>
          <w:szCs w:val="24"/>
        </w:rPr>
        <w:t xml:space="preserve">против деменция, вкл. </w:t>
      </w:r>
      <w:r w:rsidRPr="00BD5BB8">
        <w:rPr>
          <w:rFonts w:ascii="Times New Roman" w:eastAsia="Times New Roman" w:hAnsi="Times New Roman" w:cs="Times New Roman"/>
          <w:b/>
          <w:sz w:val="24"/>
          <w:szCs w:val="24"/>
          <w:lang w:eastAsia="bg-BG"/>
        </w:rPr>
        <w:t>лекарствени продукти за домашно лечение на болни с болест на Алцхаймер</w:t>
      </w:r>
      <w:r w:rsidRPr="00BD5BB8">
        <w:rPr>
          <w:rFonts w:ascii="Times New Roman" w:eastAsia="Times New Roman" w:hAnsi="Times New Roman" w:cs="Times New Roman"/>
          <w:sz w:val="24"/>
          <w:szCs w:val="24"/>
          <w:lang w:eastAsia="bg-BG"/>
        </w:rPr>
        <w:t>, което в световен мащаб се нарежда на едно от челните места по медицински разходи след сърдечно-съдовите и онкологичните заболявания</w:t>
      </w:r>
    </w:p>
    <w:p w:rsidR="00156E73" w:rsidRPr="00BD5BB8" w:rsidRDefault="00156E73" w:rsidP="00156E73">
      <w:pPr>
        <w:spacing w:after="0" w:line="240" w:lineRule="auto"/>
        <w:ind w:firstLine="709"/>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rPr>
        <w:t xml:space="preserve">През 2017-2018 г. НЗОК е осигурила лечението на пациенти с болест на Алцхаймер, както следва: 2017 г. – за 1105 здравноосигурени лица е изплатена сума в размер 143 199.14 лв., а през 2018 г. за 907 здравноосигурени лица е изплатена сума в размер 153 973.38 лв. </w:t>
      </w:r>
    </w:p>
    <w:p w:rsidR="00156E73" w:rsidRPr="00BD5BB8" w:rsidRDefault="00156E73" w:rsidP="00156E73">
      <w:pPr>
        <w:spacing w:after="0" w:line="240" w:lineRule="auto"/>
        <w:ind w:firstLine="709"/>
        <w:jc w:val="both"/>
        <w:rPr>
          <w:rFonts w:ascii="Times New Roman" w:eastAsia="Times New Roman" w:hAnsi="Times New Roman" w:cs="Times New Roman"/>
          <w:sz w:val="24"/>
          <w:szCs w:val="24"/>
        </w:rPr>
      </w:pPr>
    </w:p>
    <w:p w:rsidR="00156E73" w:rsidRPr="00BD5BB8" w:rsidRDefault="00156E73" w:rsidP="006B787C">
      <w:pPr>
        <w:spacing w:after="0" w:line="240" w:lineRule="auto"/>
        <w:jc w:val="center"/>
        <w:rPr>
          <w:rFonts w:ascii="Times New Roman" w:eastAsia="Calibri" w:hAnsi="Times New Roman" w:cs="Times New Roman"/>
          <w:b/>
          <w:sz w:val="24"/>
          <w:szCs w:val="24"/>
        </w:rPr>
      </w:pPr>
      <w:r w:rsidRPr="00BD5BB8">
        <w:rPr>
          <w:rFonts w:ascii="Times New Roman" w:eastAsia="Calibri" w:hAnsi="Times New Roman" w:cs="Times New Roman"/>
          <w:b/>
          <w:sz w:val="24"/>
          <w:szCs w:val="24"/>
        </w:rPr>
        <w:t>Методологично разработени мерки за превенция, лечение и рехабилитация</w:t>
      </w:r>
    </w:p>
    <w:p w:rsidR="00156E73" w:rsidRPr="00BD5BB8" w:rsidRDefault="00156E73" w:rsidP="006B787C">
      <w:pPr>
        <w:spacing w:after="0" w:line="240" w:lineRule="auto"/>
        <w:jc w:val="center"/>
        <w:rPr>
          <w:rFonts w:ascii="Times New Roman" w:eastAsia="Times New Roman" w:hAnsi="Times New Roman" w:cs="Times New Roman"/>
          <w:sz w:val="24"/>
          <w:szCs w:val="24"/>
        </w:rPr>
      </w:pPr>
      <w:r w:rsidRPr="00BD5BB8">
        <w:rPr>
          <w:rFonts w:ascii="Times New Roman" w:eastAsia="Calibri" w:hAnsi="Times New Roman" w:cs="Times New Roman"/>
          <w:b/>
          <w:sz w:val="24"/>
          <w:szCs w:val="24"/>
        </w:rPr>
        <w:t>в болничната помощ на социално знач</w:t>
      </w:r>
      <w:r w:rsidR="006B787C" w:rsidRPr="00BD5BB8">
        <w:rPr>
          <w:rFonts w:ascii="Times New Roman" w:eastAsia="Calibri" w:hAnsi="Times New Roman" w:cs="Times New Roman"/>
          <w:b/>
          <w:sz w:val="24"/>
          <w:szCs w:val="24"/>
        </w:rPr>
        <w:t xml:space="preserve">имите заболявания през 2017 г. и </w:t>
      </w:r>
      <w:r w:rsidRPr="00BD5BB8">
        <w:rPr>
          <w:rFonts w:ascii="Times New Roman" w:eastAsia="Calibri" w:hAnsi="Times New Roman" w:cs="Times New Roman"/>
          <w:b/>
          <w:sz w:val="24"/>
          <w:szCs w:val="24"/>
        </w:rPr>
        <w:t>2018</w:t>
      </w:r>
      <w:r w:rsidR="006B787C" w:rsidRPr="00BD5BB8">
        <w:rPr>
          <w:rFonts w:ascii="Times New Roman" w:eastAsia="Calibri" w:hAnsi="Times New Roman" w:cs="Times New Roman"/>
          <w:b/>
          <w:sz w:val="24"/>
          <w:szCs w:val="24"/>
        </w:rPr>
        <w:t xml:space="preserve"> </w:t>
      </w:r>
      <w:r w:rsidRPr="00BD5BB8">
        <w:rPr>
          <w:rFonts w:ascii="Times New Roman" w:eastAsia="Calibri" w:hAnsi="Times New Roman" w:cs="Times New Roman"/>
          <w:b/>
          <w:sz w:val="24"/>
          <w:szCs w:val="24"/>
        </w:rPr>
        <w:t>г.</w:t>
      </w:r>
    </w:p>
    <w:p w:rsidR="00156E73" w:rsidRPr="00BD5BB8" w:rsidRDefault="00156E73" w:rsidP="00156E73">
      <w:pPr>
        <w:spacing w:after="0" w:line="240" w:lineRule="auto"/>
        <w:ind w:firstLine="567"/>
        <w:jc w:val="center"/>
        <w:rPr>
          <w:rFonts w:ascii="Times New Roman" w:eastAsia="Calibri" w:hAnsi="Times New Roman" w:cs="Times New Roman"/>
          <w:b/>
          <w:sz w:val="24"/>
          <w:szCs w:val="24"/>
          <w:u w:val="single"/>
        </w:rPr>
      </w:pPr>
    </w:p>
    <w:p w:rsidR="00156E73" w:rsidRPr="00BD5BB8" w:rsidRDefault="00156E73" w:rsidP="00156E73">
      <w:pPr>
        <w:spacing w:after="0" w:line="240" w:lineRule="auto"/>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През двугодишния период 2017-2018 година, НЗОК методично е осигурила профилактиката и лечението на социално значимите заболявания, чрез изисквания за договаряне, съдържащи се в алгоритмите на диагностично-терапевтично поведение по видове заболявания в общо 13 клинични пътеки (КП) в Националния рамков договор за медицинските дейности (НРД) за 2017 и 2018 година: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КП №254 „Продължително лечение и ранна рехабилитация след острия стадий на исхемичен и хеморагичен мозъчен инсулт с остатъчни проблеми за здравето“; </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КП №255 „Продължително лечение и ранна рехабилитация след инфаркт на миокарда и след сърдечни интервенции“; </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№256 „Продължително лечение и ранна рехабилитация след оперативни интервенции с голям и много голям обeм и сложност с остатъчни проблеми за здравето“ ;</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№257 „Физикална терапия, рехабилитация и специализирани грижи при персистиращо (хронично) вегетативно състояние“;</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№258 „Физикална терапия и рехабилитация при родова травма на централна нервна система“;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№259 „Физикална терапия и рехабилитация при родова травма на периферна нервна система“;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№260 „Физикална терапия и рехабилитация при детска церебрална парализа“;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lastRenderedPageBreak/>
        <w:t>КП №261 „Физикална терапия и рехабилитация при първични мускулни увреждания и спинална мускулна атрофия“;</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№262 „Физикална терапия и рехабилитация на болести на централна нервна система“;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№263 „Физикална терапия и рехабилитация при болести на периферна нервна система“;</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№264 „Физикална терапия и рехабилитация след преживян/стар инфаркт на миокарда и след оперативни интервенции“;</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№265 „Физикална терапия и рехабилитация при болести на опорно-двигателен апарат“;</w:t>
      </w:r>
    </w:p>
    <w:p w:rsidR="00156E73" w:rsidRPr="00BD5BB8" w:rsidRDefault="00156E73" w:rsidP="00E7186B">
      <w:pPr>
        <w:numPr>
          <w:ilvl w:val="0"/>
          <w:numId w:val="30"/>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КП №266 „Речева рехабилитация след ларингектомия“.</w:t>
      </w:r>
    </w:p>
    <w:p w:rsidR="00156E73" w:rsidRPr="00BD5BB8" w:rsidRDefault="00156E73" w:rsidP="00156E73">
      <w:pPr>
        <w:spacing w:after="0" w:line="240" w:lineRule="auto"/>
        <w:ind w:firstLine="567"/>
        <w:jc w:val="both"/>
        <w:rPr>
          <w:rFonts w:ascii="Times New Roman" w:eastAsia="Calibri" w:hAnsi="Times New Roman" w:cs="Times New Roman"/>
          <w:b/>
          <w:sz w:val="24"/>
          <w:szCs w:val="24"/>
        </w:rPr>
      </w:pPr>
    </w:p>
    <w:p w:rsidR="00156E73" w:rsidRPr="00BD5BB8" w:rsidRDefault="00156E73" w:rsidP="00156E73">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Методологично е разработена мярка с</w:t>
      </w:r>
      <w:r w:rsidRPr="00BD5BB8">
        <w:rPr>
          <w:rFonts w:ascii="Times New Roman" w:eastAsia="Calibri" w:hAnsi="Times New Roman" w:cs="Times New Roman"/>
          <w:bCs/>
          <w:sz w:val="24"/>
          <w:szCs w:val="24"/>
        </w:rPr>
        <w:t xml:space="preserve"> компенсиращ характер в контекста на  палиативните грижи в онкологията, чрез указанията на диагностично-</w:t>
      </w:r>
      <w:r w:rsidRPr="00BD5BB8">
        <w:rPr>
          <w:rFonts w:ascii="Times New Roman" w:eastAsia="Calibri" w:hAnsi="Times New Roman" w:cs="Times New Roman"/>
          <w:sz w:val="24"/>
          <w:szCs w:val="24"/>
        </w:rPr>
        <w:t xml:space="preserve">лечебния алгоритъм на </w:t>
      </w:r>
      <w:r w:rsidRPr="00BD5BB8">
        <w:rPr>
          <w:rFonts w:ascii="Times New Roman" w:eastAsia="Calibri" w:hAnsi="Times New Roman" w:cs="Times New Roman"/>
          <w:b/>
          <w:sz w:val="24"/>
          <w:szCs w:val="24"/>
        </w:rPr>
        <w:t>КП № 256</w:t>
      </w:r>
      <w:r w:rsidRPr="00BD5BB8">
        <w:rPr>
          <w:rFonts w:ascii="Times New Roman" w:eastAsia="Calibri" w:hAnsi="Times New Roman" w:cs="Times New Roman"/>
          <w:sz w:val="24"/>
          <w:szCs w:val="24"/>
        </w:rPr>
        <w:t xml:space="preserve"> „Палиативни грижи за болни с онкологични заболявания“. Комплексното лечение по тази клинична пътека включва интегрирана грижа и се осигурява по договор с хоспис. </w:t>
      </w:r>
    </w:p>
    <w:p w:rsidR="00156E73" w:rsidRPr="00BD5BB8" w:rsidRDefault="00156E73" w:rsidP="00156E73">
      <w:pPr>
        <w:spacing w:after="0" w:line="240" w:lineRule="auto"/>
        <w:ind w:left="567"/>
        <w:jc w:val="both"/>
        <w:rPr>
          <w:rFonts w:ascii="Times New Roman" w:eastAsia="Calibri" w:hAnsi="Times New Roman" w:cs="Times New Roman"/>
          <w:sz w:val="24"/>
          <w:szCs w:val="24"/>
        </w:rPr>
      </w:pPr>
    </w:p>
    <w:p w:rsidR="00156E73" w:rsidRPr="00BD5BB8" w:rsidRDefault="00156E73" w:rsidP="00156E73">
      <w:pPr>
        <w:spacing w:after="0" w:line="240" w:lineRule="auto"/>
        <w:ind w:left="567"/>
        <w:jc w:val="center"/>
        <w:rPr>
          <w:rFonts w:ascii="Times New Roman" w:eastAsia="Calibri" w:hAnsi="Times New Roman" w:cs="Times New Roman"/>
          <w:b/>
          <w:bCs/>
          <w:sz w:val="24"/>
          <w:szCs w:val="24"/>
        </w:rPr>
      </w:pPr>
      <w:r w:rsidRPr="00BD5BB8">
        <w:rPr>
          <w:rFonts w:ascii="Times New Roman" w:eastAsia="Calibri" w:hAnsi="Times New Roman" w:cs="Times New Roman"/>
          <w:b/>
          <w:sz w:val="24"/>
          <w:szCs w:val="24"/>
        </w:rPr>
        <w:t xml:space="preserve">Извършен обем дейност </w:t>
      </w:r>
      <w:r w:rsidRPr="00BD5BB8">
        <w:rPr>
          <w:rFonts w:ascii="Times New Roman" w:eastAsia="Calibri" w:hAnsi="Times New Roman" w:cs="Times New Roman"/>
          <w:b/>
          <w:bCs/>
          <w:sz w:val="24"/>
          <w:szCs w:val="24"/>
        </w:rPr>
        <w:t>в частта „Физикална медицина и рехабилитация“ и „Палиативни грижи“</w:t>
      </w:r>
      <w:r w:rsidRPr="00BD5BB8">
        <w:rPr>
          <w:rFonts w:ascii="Times New Roman" w:eastAsia="Calibri" w:hAnsi="Times New Roman" w:cs="Times New Roman"/>
          <w:b/>
          <w:sz w:val="24"/>
          <w:szCs w:val="24"/>
        </w:rPr>
        <w:t xml:space="preserve"> през 2017г. и 2018 г.</w:t>
      </w:r>
    </w:p>
    <w:p w:rsidR="00156E73" w:rsidRPr="00BD5BB8" w:rsidRDefault="00156E73" w:rsidP="00156E73">
      <w:pPr>
        <w:spacing w:after="0" w:line="240" w:lineRule="auto"/>
        <w:ind w:firstLine="567"/>
        <w:jc w:val="both"/>
        <w:rPr>
          <w:rFonts w:ascii="Times New Roman" w:eastAsia="Calibri" w:hAnsi="Times New Roman" w:cs="Times New Roman"/>
          <w:sz w:val="24"/>
          <w:szCs w:val="24"/>
        </w:rPr>
      </w:pPr>
    </w:p>
    <w:p w:rsidR="00156E73" w:rsidRPr="00BD5BB8" w:rsidRDefault="00156E73" w:rsidP="00156E73">
      <w:pPr>
        <w:spacing w:after="0" w:line="240" w:lineRule="auto"/>
        <w:ind w:firstLine="567"/>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 Общият брой на отчетените случаи за двугодишния период по клинични пътеки (КП) за физикална терапия и рехабилитация е 346 779. За 2017 г. по КП са преминали общо 163 226 здравноосигурени лица (ЗОЛ), а за 2018 година - 183 553 ЗОЛ.</w:t>
      </w:r>
    </w:p>
    <w:p w:rsidR="00156E73" w:rsidRPr="00BD5BB8" w:rsidRDefault="00156E73" w:rsidP="00156E73">
      <w:pPr>
        <w:spacing w:after="0" w:line="240" w:lineRule="auto"/>
        <w:ind w:firstLine="567"/>
        <w:jc w:val="both"/>
        <w:rPr>
          <w:rFonts w:ascii="Times New Roman" w:eastAsia="Calibri" w:hAnsi="Times New Roman" w:cs="Times New Roman"/>
          <w:sz w:val="24"/>
          <w:szCs w:val="24"/>
        </w:rPr>
      </w:pPr>
    </w:p>
    <w:p w:rsidR="00C91DF9" w:rsidRPr="00BD5BB8" w:rsidRDefault="00156E73" w:rsidP="00156E73">
      <w:pPr>
        <w:spacing w:after="0" w:line="240" w:lineRule="auto"/>
        <w:ind w:firstLine="567"/>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 По КП, броят на отчетените случаи е както следва:</w:t>
      </w:r>
    </w:p>
    <w:p w:rsidR="00156E73" w:rsidRPr="00BD5BB8" w:rsidRDefault="00156E73" w:rsidP="00156E73">
      <w:pPr>
        <w:spacing w:after="0" w:line="240" w:lineRule="auto"/>
        <w:ind w:firstLine="567"/>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По КП №253</w:t>
      </w:r>
      <w:r w:rsidRPr="00BD5BB8">
        <w:rPr>
          <w:rFonts w:ascii="Times New Roman" w:eastAsia="Calibri" w:hAnsi="Times New Roman" w:cs="Times New Roman"/>
          <w:sz w:val="24"/>
          <w:szCs w:val="24"/>
        </w:rPr>
        <w:t xml:space="preserve"> „Палиативни грижи за болни с онкологични заболявания“ през 2017 г. са преминали общо 2 690 случая, а през 2018 г. – 2 679 случая или общо за двугодишния период – 5 369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По КП №254</w:t>
      </w:r>
      <w:r w:rsidRPr="00BD5BB8">
        <w:rPr>
          <w:rFonts w:ascii="Times New Roman" w:eastAsia="Calibri" w:hAnsi="Times New Roman" w:cs="Times New Roman"/>
          <w:sz w:val="24"/>
          <w:szCs w:val="24"/>
        </w:rPr>
        <w:t xml:space="preserve"> „Продължително лечение и ранна рехабилитация след острия стадий на исхемичен и хеморагичен мозъчен инсулт с остатъчни проблеми за здравето“ </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За 2017 г. – 1 064 случая; за 2018 г. </w:t>
      </w:r>
      <w:r w:rsidR="00C91DF9"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 xml:space="preserve">1 699 случая; общо за 2017-18 г. – 2 763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По КП№255</w:t>
      </w:r>
      <w:r w:rsidRPr="00BD5BB8">
        <w:rPr>
          <w:rFonts w:ascii="Times New Roman" w:eastAsia="Calibri" w:hAnsi="Times New Roman" w:cs="Times New Roman"/>
          <w:sz w:val="24"/>
          <w:szCs w:val="24"/>
        </w:rPr>
        <w:t xml:space="preserve"> „Продължително лечение и ранна рехабилитация след инфаркт на миокарда и след сърдечни интервенции“</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55 случая; за 20</w:t>
      </w:r>
      <w:r w:rsidR="00C91DF9" w:rsidRPr="00BD5BB8">
        <w:rPr>
          <w:rFonts w:ascii="Times New Roman" w:eastAsia="Calibri" w:hAnsi="Times New Roman" w:cs="Times New Roman"/>
          <w:sz w:val="24"/>
          <w:szCs w:val="24"/>
        </w:rPr>
        <w:t>18 г. – 87 случая; общо за 2017-</w:t>
      </w:r>
      <w:r w:rsidRPr="00BD5BB8">
        <w:rPr>
          <w:rFonts w:ascii="Times New Roman" w:eastAsia="Calibri" w:hAnsi="Times New Roman" w:cs="Times New Roman"/>
          <w:sz w:val="24"/>
          <w:szCs w:val="24"/>
        </w:rPr>
        <w:t xml:space="preserve">18 г. – 142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256 „</w:t>
      </w:r>
      <w:r w:rsidRPr="00BD5BB8">
        <w:rPr>
          <w:rFonts w:ascii="Times New Roman" w:eastAsia="Calibri" w:hAnsi="Times New Roman" w:cs="Times New Roman"/>
          <w:sz w:val="24"/>
          <w:szCs w:val="24"/>
        </w:rPr>
        <w:t xml:space="preserve">Продължително лечение и ранна рехабилитация след оперативни интервенции с голям и много голям обeм и сложност с остатъчни проблеми за здравето“ </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928 случая; за 2018 г. – 1 351 случая; общо за 2017-18 г. – 2 279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257</w:t>
      </w:r>
      <w:r w:rsidRPr="00BD5BB8">
        <w:rPr>
          <w:rFonts w:ascii="Times New Roman" w:eastAsia="Calibri" w:hAnsi="Times New Roman" w:cs="Times New Roman"/>
          <w:sz w:val="24"/>
          <w:szCs w:val="24"/>
        </w:rPr>
        <w:t xml:space="preserve"> „Физикална терапия, рехабилитация и специализирани грижи при персистиращо (хронично) вегетативно състояние“</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10 случая; за 2018 г. – 4 случая; общо за 2017-18 г. – 14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258</w:t>
      </w:r>
      <w:r w:rsidRPr="00BD5BB8">
        <w:rPr>
          <w:rFonts w:ascii="Times New Roman" w:eastAsia="Calibri" w:hAnsi="Times New Roman" w:cs="Times New Roman"/>
          <w:sz w:val="24"/>
          <w:szCs w:val="24"/>
        </w:rPr>
        <w:t xml:space="preserve"> „Физикална терапия и рехабилитация при родова травма на централна нервна система“</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lastRenderedPageBreak/>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w:t>
      </w:r>
      <w:r w:rsidR="00C91DF9"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 xml:space="preserve">475 случая; за 2018 г. </w:t>
      </w:r>
      <w:r w:rsidR="00C91DF9"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551 случая; общ</w:t>
      </w:r>
      <w:r w:rsidR="00C22A43" w:rsidRPr="00BD5BB8">
        <w:rPr>
          <w:rFonts w:ascii="Times New Roman" w:eastAsia="Calibri" w:hAnsi="Times New Roman" w:cs="Times New Roman"/>
          <w:sz w:val="24"/>
          <w:szCs w:val="24"/>
        </w:rPr>
        <w:t>о за 2017-18 г. – 1 026 случая.</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259</w:t>
      </w:r>
      <w:r w:rsidRPr="00BD5BB8">
        <w:rPr>
          <w:rFonts w:ascii="Times New Roman" w:eastAsia="Calibri" w:hAnsi="Times New Roman" w:cs="Times New Roman"/>
          <w:sz w:val="24"/>
          <w:szCs w:val="24"/>
        </w:rPr>
        <w:t xml:space="preserve"> „Физикална терапия и рехабилитация при родова травма на периферна нервна система“</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w:t>
      </w:r>
      <w:r w:rsidR="00C91DF9" w:rsidRPr="00BD5BB8">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 xml:space="preserve">252 случая; за 2018 г. – 239 случая; общо за 2017-18 г. – 491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260</w:t>
      </w:r>
      <w:r w:rsidRPr="00BD5BB8">
        <w:rPr>
          <w:rFonts w:ascii="Times New Roman" w:eastAsia="Calibri" w:hAnsi="Times New Roman" w:cs="Times New Roman"/>
          <w:sz w:val="24"/>
          <w:szCs w:val="24"/>
        </w:rPr>
        <w:t xml:space="preserve"> „Физикална терапия и рехабилитация при детска церебрална парализа“</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4 093 случая; за 2018 г. – 4 338 случая; общ</w:t>
      </w:r>
      <w:r w:rsidR="00C22A43" w:rsidRPr="00BD5BB8">
        <w:rPr>
          <w:rFonts w:ascii="Times New Roman" w:eastAsia="Calibri" w:hAnsi="Times New Roman" w:cs="Times New Roman"/>
          <w:sz w:val="24"/>
          <w:szCs w:val="24"/>
        </w:rPr>
        <w:t>о за 2017-18 г. – 8 431 случая.</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261</w:t>
      </w:r>
      <w:r w:rsidRPr="00BD5BB8">
        <w:rPr>
          <w:rFonts w:ascii="Times New Roman" w:eastAsia="Calibri" w:hAnsi="Times New Roman" w:cs="Times New Roman"/>
          <w:sz w:val="24"/>
          <w:szCs w:val="24"/>
        </w:rPr>
        <w:t xml:space="preserve"> „Физикална терапия и рехабилитация при първични мускулни увреждания и спинална мускулна атрофия“</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88 случая; за 2018 г. – 87 случая; общо з</w:t>
      </w:r>
      <w:r w:rsidR="00C22A43" w:rsidRPr="00BD5BB8">
        <w:rPr>
          <w:rFonts w:ascii="Times New Roman" w:eastAsia="Calibri" w:hAnsi="Times New Roman" w:cs="Times New Roman"/>
          <w:sz w:val="24"/>
          <w:szCs w:val="24"/>
        </w:rPr>
        <w:t>а 2017 и 2018 г. –  175 случая.</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262</w:t>
      </w:r>
      <w:r w:rsidRPr="00BD5BB8">
        <w:rPr>
          <w:rFonts w:ascii="Times New Roman" w:eastAsia="Calibri" w:hAnsi="Times New Roman" w:cs="Times New Roman"/>
          <w:sz w:val="24"/>
          <w:szCs w:val="24"/>
        </w:rPr>
        <w:t xml:space="preserve"> „Физикална терапия и рехабилитация на болести на централна нервна система“</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12 438 случая; за 2018</w:t>
      </w:r>
      <w:r w:rsidR="00432E1A">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г</w:t>
      </w:r>
      <w:r w:rsidR="001E716A" w:rsidRPr="00BD5BB8">
        <w:rPr>
          <w:rFonts w:ascii="Times New Roman" w:eastAsia="Calibri" w:hAnsi="Times New Roman" w:cs="Times New Roman"/>
          <w:sz w:val="24"/>
          <w:szCs w:val="24"/>
        </w:rPr>
        <w:t>. – 12 764 случая; общо за 2017-</w:t>
      </w:r>
      <w:r w:rsidR="00C22A43" w:rsidRPr="00BD5BB8">
        <w:rPr>
          <w:rFonts w:ascii="Times New Roman" w:eastAsia="Calibri" w:hAnsi="Times New Roman" w:cs="Times New Roman"/>
          <w:sz w:val="24"/>
          <w:szCs w:val="24"/>
        </w:rPr>
        <w:t>18 г. – 25 202 случая.</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263</w:t>
      </w:r>
      <w:r w:rsidRPr="00BD5BB8">
        <w:rPr>
          <w:rFonts w:ascii="Times New Roman" w:eastAsia="Calibri" w:hAnsi="Times New Roman" w:cs="Times New Roman"/>
          <w:sz w:val="24"/>
          <w:szCs w:val="24"/>
        </w:rPr>
        <w:t xml:space="preserve"> „Физикална терапия и рехабилитация при болести на периферна нервна система“</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42 865 случая; за 2018</w:t>
      </w:r>
      <w:r w:rsidR="00432E1A">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г</w:t>
      </w:r>
      <w:r w:rsidR="001E716A" w:rsidRPr="00BD5BB8">
        <w:rPr>
          <w:rFonts w:ascii="Times New Roman" w:eastAsia="Calibri" w:hAnsi="Times New Roman" w:cs="Times New Roman"/>
          <w:sz w:val="24"/>
          <w:szCs w:val="24"/>
        </w:rPr>
        <w:t>. – 46 728 случая; общо за 2017-</w:t>
      </w:r>
      <w:r w:rsidR="00C22A43" w:rsidRPr="00BD5BB8">
        <w:rPr>
          <w:rFonts w:ascii="Times New Roman" w:eastAsia="Calibri" w:hAnsi="Times New Roman" w:cs="Times New Roman"/>
          <w:sz w:val="24"/>
          <w:szCs w:val="24"/>
        </w:rPr>
        <w:t>18 г. – 89 593 случая.</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264</w:t>
      </w:r>
      <w:r w:rsidRPr="00BD5BB8">
        <w:rPr>
          <w:rFonts w:ascii="Times New Roman" w:eastAsia="Calibri" w:hAnsi="Times New Roman" w:cs="Times New Roman"/>
          <w:sz w:val="24"/>
          <w:szCs w:val="24"/>
        </w:rPr>
        <w:t xml:space="preserve"> „Физикална терапия и рехабилитация след преживян/стар инфаркт на миокарда и след оперативни интервенции“</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1 091 случая; за 2018 г. – 1 019 случая; общо за 2017-18 г. – 2 110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265</w:t>
      </w:r>
      <w:r w:rsidRPr="00BD5BB8">
        <w:rPr>
          <w:rFonts w:ascii="Times New Roman" w:eastAsia="Calibri" w:hAnsi="Times New Roman" w:cs="Times New Roman"/>
          <w:sz w:val="24"/>
          <w:szCs w:val="24"/>
        </w:rPr>
        <w:t xml:space="preserve"> „Физикална терапия и рехабилитация при болести на опорно-двигателен апарат“</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99 783 случая; за 2018 г. –</w:t>
      </w:r>
      <w:r w:rsidR="001E716A" w:rsidRPr="00BD5BB8">
        <w:rPr>
          <w:rFonts w:ascii="Times New Roman" w:eastAsia="Calibri" w:hAnsi="Times New Roman" w:cs="Times New Roman"/>
          <w:sz w:val="24"/>
          <w:szCs w:val="24"/>
        </w:rPr>
        <w:t xml:space="preserve"> 114 585 случая;</w:t>
      </w:r>
      <w:r w:rsidR="00C22A43" w:rsidRPr="00BD5BB8">
        <w:rPr>
          <w:rFonts w:ascii="Times New Roman" w:eastAsia="Calibri" w:hAnsi="Times New Roman" w:cs="Times New Roman"/>
          <w:sz w:val="24"/>
          <w:szCs w:val="24"/>
        </w:rPr>
        <w:t xml:space="preserve"> </w:t>
      </w:r>
      <w:r w:rsidR="001E716A" w:rsidRPr="00BD5BB8">
        <w:rPr>
          <w:rFonts w:ascii="Times New Roman" w:eastAsia="Calibri" w:hAnsi="Times New Roman" w:cs="Times New Roman"/>
          <w:sz w:val="24"/>
          <w:szCs w:val="24"/>
        </w:rPr>
        <w:t>общо за 2017-</w:t>
      </w:r>
      <w:r w:rsidRPr="00BD5BB8">
        <w:rPr>
          <w:rFonts w:ascii="Times New Roman" w:eastAsia="Calibri" w:hAnsi="Times New Roman" w:cs="Times New Roman"/>
          <w:sz w:val="24"/>
          <w:szCs w:val="24"/>
        </w:rPr>
        <w:t xml:space="preserve">18 г. – 214 368 случая. </w:t>
      </w:r>
    </w:p>
    <w:p w:rsidR="00156E73" w:rsidRPr="00BD5BB8" w:rsidRDefault="00156E73" w:rsidP="00E7186B">
      <w:pPr>
        <w:numPr>
          <w:ilvl w:val="0"/>
          <w:numId w:val="31"/>
        </w:num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КП № 266</w:t>
      </w:r>
      <w:r w:rsidRPr="00BD5BB8">
        <w:rPr>
          <w:rFonts w:ascii="Times New Roman" w:eastAsia="Calibri" w:hAnsi="Times New Roman" w:cs="Times New Roman"/>
          <w:sz w:val="24"/>
          <w:szCs w:val="24"/>
        </w:rPr>
        <w:t xml:space="preserve"> „Речева рехабилитация след ларингектомия“</w:t>
      </w:r>
    </w:p>
    <w:p w:rsidR="00156E73" w:rsidRPr="00BD5BB8" w:rsidRDefault="00156E73" w:rsidP="00C22A43">
      <w:pPr>
        <w:numPr>
          <w:ilvl w:val="0"/>
          <w:numId w:val="32"/>
        </w:numPr>
        <w:spacing w:after="0" w:line="240" w:lineRule="auto"/>
        <w:ind w:left="1134"/>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 2017 г</w:t>
      </w:r>
      <w:r w:rsidR="00C91DF9" w:rsidRPr="00BD5BB8">
        <w:rPr>
          <w:rFonts w:ascii="Times New Roman" w:eastAsia="Calibri" w:hAnsi="Times New Roman" w:cs="Times New Roman"/>
          <w:sz w:val="24"/>
          <w:szCs w:val="24"/>
        </w:rPr>
        <w:t>.</w:t>
      </w:r>
      <w:r w:rsidRPr="00BD5BB8">
        <w:rPr>
          <w:rFonts w:ascii="Times New Roman" w:eastAsia="Calibri" w:hAnsi="Times New Roman" w:cs="Times New Roman"/>
          <w:sz w:val="24"/>
          <w:szCs w:val="24"/>
        </w:rPr>
        <w:t xml:space="preserve"> – 84 случая; за 2018 г. – 101 случая; общо за 2017-18 г. – 185 случая. </w:t>
      </w:r>
    </w:p>
    <w:p w:rsidR="00156E73" w:rsidRPr="00BD5BB8" w:rsidRDefault="00156E73" w:rsidP="00156E73">
      <w:pPr>
        <w:spacing w:after="0" w:line="240" w:lineRule="auto"/>
        <w:ind w:left="810"/>
        <w:contextualSpacing/>
        <w:jc w:val="both"/>
        <w:rPr>
          <w:rFonts w:ascii="Times New Roman" w:eastAsia="Calibri" w:hAnsi="Times New Roman" w:cs="Times New Roman"/>
          <w:sz w:val="24"/>
          <w:szCs w:val="24"/>
        </w:rPr>
      </w:pPr>
    </w:p>
    <w:p w:rsidR="00156E73" w:rsidRPr="00BD5BB8" w:rsidRDefault="00156E73" w:rsidP="001E716A">
      <w:pPr>
        <w:spacing w:after="0" w:line="240" w:lineRule="auto"/>
        <w:contextualSpacing/>
        <w:jc w:val="center"/>
        <w:rPr>
          <w:rFonts w:ascii="Times New Roman" w:eastAsia="Calibri" w:hAnsi="Times New Roman" w:cs="Times New Roman"/>
          <w:b/>
          <w:sz w:val="24"/>
          <w:szCs w:val="24"/>
        </w:rPr>
      </w:pPr>
      <w:r w:rsidRPr="00BD5BB8">
        <w:rPr>
          <w:rFonts w:ascii="Times New Roman" w:eastAsia="Calibri" w:hAnsi="Times New Roman" w:cs="Times New Roman"/>
          <w:b/>
          <w:sz w:val="24"/>
          <w:szCs w:val="24"/>
        </w:rPr>
        <w:t xml:space="preserve">Извършен обем дейност </w:t>
      </w:r>
      <w:r w:rsidRPr="00BD5BB8">
        <w:rPr>
          <w:rFonts w:ascii="Times New Roman" w:eastAsia="Calibri" w:hAnsi="Times New Roman" w:cs="Times New Roman"/>
          <w:b/>
          <w:bCs/>
          <w:sz w:val="24"/>
          <w:szCs w:val="24"/>
        </w:rPr>
        <w:t>в частта „Физикална медицина и рехабилитация“ и „Палиативни грижи“</w:t>
      </w:r>
      <w:r w:rsidRPr="00BD5BB8">
        <w:rPr>
          <w:rFonts w:ascii="Times New Roman" w:eastAsia="Calibri" w:hAnsi="Times New Roman" w:cs="Times New Roman"/>
          <w:b/>
          <w:sz w:val="24"/>
          <w:szCs w:val="24"/>
        </w:rPr>
        <w:t>, по критерий „Брой случаи, разпределени по възраст“, за 2017 г. и 2018 г.</w:t>
      </w:r>
    </w:p>
    <w:p w:rsidR="00156E73" w:rsidRPr="00BD5BB8" w:rsidRDefault="00156E73" w:rsidP="00156E73">
      <w:pPr>
        <w:spacing w:after="0" w:line="240" w:lineRule="auto"/>
        <w:ind w:left="810"/>
        <w:contextualSpacing/>
        <w:jc w:val="center"/>
        <w:rPr>
          <w:rFonts w:ascii="Times New Roman" w:eastAsia="Calibri" w:hAnsi="Times New Roman" w:cs="Times New Roman"/>
          <w:b/>
          <w:sz w:val="24"/>
          <w:szCs w:val="24"/>
        </w:rPr>
      </w:pPr>
    </w:p>
    <w:p w:rsidR="00156E73" w:rsidRPr="00BD5BB8" w:rsidRDefault="00156E73" w:rsidP="006B787C">
      <w:pPr>
        <w:spacing w:after="0" w:line="240" w:lineRule="auto"/>
        <w:contextualSpacing/>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Разпределение на случаите по КП в частта „Физикална медицина и рехабилитация“ и палиативни грижи по възрастов критерий за 2017 година и 2018 година, са представени в таблица № 1</w:t>
      </w:r>
      <w:r w:rsidR="006B787C" w:rsidRPr="00BD5BB8">
        <w:rPr>
          <w:rFonts w:ascii="Times New Roman" w:eastAsia="Calibri" w:hAnsi="Times New Roman" w:cs="Times New Roman"/>
          <w:sz w:val="24"/>
          <w:szCs w:val="24"/>
        </w:rPr>
        <w:t>.</w:t>
      </w:r>
    </w:p>
    <w:p w:rsidR="00156E73" w:rsidRPr="00BD5BB8" w:rsidRDefault="00156E73" w:rsidP="00156E73">
      <w:pPr>
        <w:spacing w:after="0" w:line="240" w:lineRule="auto"/>
        <w:ind w:left="810"/>
        <w:contextualSpacing/>
        <w:jc w:val="both"/>
        <w:rPr>
          <w:rFonts w:ascii="Times New Roman" w:eastAsia="Calibri" w:hAnsi="Times New Roman" w:cs="Times New Roman"/>
          <w:sz w:val="24"/>
          <w:szCs w:val="24"/>
        </w:rPr>
      </w:pPr>
    </w:p>
    <w:tbl>
      <w:tblPr>
        <w:tblW w:w="9072" w:type="dxa"/>
        <w:tblInd w:w="70" w:type="dxa"/>
        <w:tblCellMar>
          <w:left w:w="70" w:type="dxa"/>
          <w:right w:w="70" w:type="dxa"/>
        </w:tblCellMar>
        <w:tblLook w:val="04A0" w:firstRow="1" w:lastRow="0" w:firstColumn="1" w:lastColumn="0" w:noHBand="0" w:noVBand="1"/>
      </w:tblPr>
      <w:tblGrid>
        <w:gridCol w:w="1276"/>
        <w:gridCol w:w="851"/>
        <w:gridCol w:w="850"/>
        <w:gridCol w:w="851"/>
        <w:gridCol w:w="850"/>
        <w:gridCol w:w="992"/>
        <w:gridCol w:w="993"/>
        <w:gridCol w:w="1134"/>
        <w:gridCol w:w="1275"/>
      </w:tblGrid>
      <w:tr w:rsidR="001E716A" w:rsidRPr="00BD5BB8" w:rsidTr="001E716A">
        <w:trPr>
          <w:trHeight w:val="558"/>
        </w:trPr>
        <w:tc>
          <w:tcPr>
            <w:tcW w:w="1276" w:type="dxa"/>
            <w:tcBorders>
              <w:top w:val="single" w:sz="4" w:space="0" w:color="auto"/>
              <w:left w:val="single" w:sz="4" w:space="0" w:color="auto"/>
              <w:bottom w:val="single" w:sz="4" w:space="0" w:color="auto"/>
              <w:right w:val="single" w:sz="4" w:space="0" w:color="auto"/>
            </w:tcBorders>
            <w:shd w:val="clear" w:color="auto" w:fill="DBE5F1"/>
            <w:noWrap/>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Групиране на случаите  по възраст</w:t>
            </w:r>
          </w:p>
        </w:tc>
        <w:tc>
          <w:tcPr>
            <w:tcW w:w="851"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до 18 г.</w:t>
            </w:r>
          </w:p>
        </w:tc>
        <w:tc>
          <w:tcPr>
            <w:tcW w:w="850"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до 18 г.</w:t>
            </w:r>
          </w:p>
        </w:tc>
        <w:tc>
          <w:tcPr>
            <w:tcW w:w="851"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от 18 г. до 65 г.</w:t>
            </w:r>
          </w:p>
        </w:tc>
        <w:tc>
          <w:tcPr>
            <w:tcW w:w="850"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от 18 г. до 65 г.</w:t>
            </w:r>
          </w:p>
        </w:tc>
        <w:tc>
          <w:tcPr>
            <w:tcW w:w="992"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от 65 г. до 110 г.</w:t>
            </w:r>
          </w:p>
        </w:tc>
        <w:tc>
          <w:tcPr>
            <w:tcW w:w="993"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от 65 г. до 110 г.</w:t>
            </w:r>
          </w:p>
        </w:tc>
        <w:tc>
          <w:tcPr>
            <w:tcW w:w="1134"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Брой случаи над 110 г.</w:t>
            </w:r>
          </w:p>
        </w:tc>
        <w:tc>
          <w:tcPr>
            <w:tcW w:w="1275"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sz w:val="20"/>
                <w:szCs w:val="20"/>
                <w:lang w:eastAsia="bg-BG"/>
              </w:rPr>
            </w:pPr>
            <w:r w:rsidRPr="00BD5BB8">
              <w:rPr>
                <w:rFonts w:ascii="Times New Roman" w:eastAsia="Times New Roman" w:hAnsi="Times New Roman" w:cs="Times New Roman"/>
                <w:b/>
                <w:sz w:val="20"/>
                <w:szCs w:val="20"/>
                <w:lang w:eastAsia="bg-BG"/>
              </w:rPr>
              <w:t>Брой случаи над 110 г.</w:t>
            </w:r>
          </w:p>
        </w:tc>
      </w:tr>
      <w:tr w:rsidR="001E716A" w:rsidRPr="00BD5BB8" w:rsidTr="001E716A">
        <w:trPr>
          <w:trHeight w:val="186"/>
        </w:trPr>
        <w:tc>
          <w:tcPr>
            <w:tcW w:w="1276" w:type="dxa"/>
            <w:tcBorders>
              <w:top w:val="nil"/>
              <w:left w:val="single" w:sz="4" w:space="0" w:color="auto"/>
              <w:bottom w:val="single" w:sz="4" w:space="0" w:color="auto"/>
              <w:right w:val="single" w:sz="4" w:space="0" w:color="auto"/>
            </w:tcBorders>
            <w:shd w:val="clear" w:color="auto" w:fill="F2F2F2"/>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Година на изписване</w:t>
            </w:r>
          </w:p>
        </w:tc>
        <w:tc>
          <w:tcPr>
            <w:tcW w:w="851" w:type="dxa"/>
            <w:tcBorders>
              <w:top w:val="nil"/>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2018</w:t>
            </w:r>
          </w:p>
        </w:tc>
        <w:tc>
          <w:tcPr>
            <w:tcW w:w="850" w:type="dxa"/>
            <w:tcBorders>
              <w:top w:val="nil"/>
              <w:left w:val="nil"/>
              <w:bottom w:val="single" w:sz="4" w:space="0" w:color="auto"/>
              <w:right w:val="single" w:sz="4" w:space="0" w:color="auto"/>
            </w:tcBorders>
            <w:shd w:val="clear" w:color="auto" w:fill="F2F2F2"/>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2017</w:t>
            </w:r>
          </w:p>
        </w:tc>
        <w:tc>
          <w:tcPr>
            <w:tcW w:w="851" w:type="dxa"/>
            <w:tcBorders>
              <w:top w:val="nil"/>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2018</w:t>
            </w:r>
          </w:p>
        </w:tc>
        <w:tc>
          <w:tcPr>
            <w:tcW w:w="850" w:type="dxa"/>
            <w:tcBorders>
              <w:top w:val="nil"/>
              <w:left w:val="nil"/>
              <w:bottom w:val="single" w:sz="4" w:space="0" w:color="auto"/>
              <w:right w:val="single" w:sz="4" w:space="0" w:color="auto"/>
            </w:tcBorders>
            <w:shd w:val="clear" w:color="auto" w:fill="F2F2F2"/>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2017</w:t>
            </w:r>
          </w:p>
        </w:tc>
        <w:tc>
          <w:tcPr>
            <w:tcW w:w="992" w:type="dxa"/>
            <w:tcBorders>
              <w:top w:val="nil"/>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2018</w:t>
            </w:r>
          </w:p>
        </w:tc>
        <w:tc>
          <w:tcPr>
            <w:tcW w:w="993" w:type="dxa"/>
            <w:tcBorders>
              <w:top w:val="nil"/>
              <w:left w:val="nil"/>
              <w:bottom w:val="single" w:sz="4" w:space="0" w:color="auto"/>
              <w:right w:val="single" w:sz="4" w:space="0" w:color="auto"/>
            </w:tcBorders>
            <w:shd w:val="clear" w:color="auto" w:fill="F2F2F2"/>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2017</w:t>
            </w:r>
          </w:p>
        </w:tc>
        <w:tc>
          <w:tcPr>
            <w:tcW w:w="1134" w:type="dxa"/>
            <w:tcBorders>
              <w:top w:val="nil"/>
              <w:left w:val="nil"/>
              <w:bottom w:val="single" w:sz="4" w:space="0" w:color="auto"/>
              <w:right w:val="single" w:sz="4" w:space="0" w:color="auto"/>
            </w:tcBorders>
            <w:shd w:val="clear" w:color="auto" w:fill="DBE5F1"/>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2018</w:t>
            </w:r>
          </w:p>
        </w:tc>
        <w:tc>
          <w:tcPr>
            <w:tcW w:w="1275" w:type="dxa"/>
            <w:tcBorders>
              <w:top w:val="nil"/>
              <w:left w:val="nil"/>
              <w:bottom w:val="single" w:sz="4" w:space="0" w:color="auto"/>
              <w:right w:val="single" w:sz="4" w:space="0" w:color="auto"/>
            </w:tcBorders>
            <w:shd w:val="clear" w:color="auto" w:fill="F2F2F2"/>
            <w:vAlign w:val="center"/>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2017</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P264</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369</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371</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650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720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lastRenderedPageBreak/>
              <w:t>P259</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239</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252</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P261</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46</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41</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35</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39</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8</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P260</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3 061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3 030</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1 249</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1 041</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28</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auto" w:fill="DAEEF3"/>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P253</w:t>
            </w:r>
          </w:p>
        </w:tc>
        <w:tc>
          <w:tcPr>
            <w:tcW w:w="851"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w:t>
            </w:r>
          </w:p>
        </w:tc>
        <w:tc>
          <w:tcPr>
            <w:tcW w:w="851"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1 173</w:t>
            </w:r>
          </w:p>
        </w:tc>
        <w:tc>
          <w:tcPr>
            <w:tcW w:w="850"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1 179</w:t>
            </w:r>
          </w:p>
        </w:tc>
        <w:tc>
          <w:tcPr>
            <w:tcW w:w="992"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1 506</w:t>
            </w:r>
          </w:p>
        </w:tc>
        <w:tc>
          <w:tcPr>
            <w:tcW w:w="993"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1 510</w:t>
            </w:r>
          </w:p>
        </w:tc>
        <w:tc>
          <w:tcPr>
            <w:tcW w:w="1134"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P266</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75</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57</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25</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24</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auto" w:fill="EEECE1"/>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P255</w:t>
            </w:r>
          </w:p>
        </w:tc>
        <w:tc>
          <w:tcPr>
            <w:tcW w:w="851"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1"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20</w:t>
            </w:r>
          </w:p>
        </w:tc>
        <w:tc>
          <w:tcPr>
            <w:tcW w:w="850"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9</w:t>
            </w:r>
          </w:p>
        </w:tc>
        <w:tc>
          <w:tcPr>
            <w:tcW w:w="992"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67</w:t>
            </w:r>
          </w:p>
        </w:tc>
        <w:tc>
          <w:tcPr>
            <w:tcW w:w="993"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46</w:t>
            </w:r>
          </w:p>
        </w:tc>
        <w:tc>
          <w:tcPr>
            <w:tcW w:w="1134"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auto" w:fill="EEECE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P258</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551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475</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P257</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8</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auto" w:fill="DBE5F1"/>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P254</w:t>
            </w:r>
          </w:p>
        </w:tc>
        <w:tc>
          <w:tcPr>
            <w:tcW w:w="851"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0"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851"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350</w:t>
            </w:r>
          </w:p>
        </w:tc>
        <w:tc>
          <w:tcPr>
            <w:tcW w:w="850"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198</w:t>
            </w:r>
          </w:p>
        </w:tc>
        <w:tc>
          <w:tcPr>
            <w:tcW w:w="992"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1 349</w:t>
            </w:r>
          </w:p>
        </w:tc>
        <w:tc>
          <w:tcPr>
            <w:tcW w:w="993"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866</w:t>
            </w:r>
          </w:p>
        </w:tc>
        <w:tc>
          <w:tcPr>
            <w:tcW w:w="1134"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auto" w:fill="DBE5F1"/>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P263</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125</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135</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24 996</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23 572</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21 607</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19 158</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P262</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47</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42</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4 671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4 588</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8 046</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7 808</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auto" w:fill="DAEEF3"/>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P265</w:t>
            </w:r>
          </w:p>
        </w:tc>
        <w:tc>
          <w:tcPr>
            <w:tcW w:w="851"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634</w:t>
            </w:r>
          </w:p>
        </w:tc>
        <w:tc>
          <w:tcPr>
            <w:tcW w:w="850"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634</w:t>
            </w:r>
          </w:p>
        </w:tc>
        <w:tc>
          <w:tcPr>
            <w:tcW w:w="851"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55 354</w:t>
            </w:r>
          </w:p>
        </w:tc>
        <w:tc>
          <w:tcPr>
            <w:tcW w:w="850"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48 979</w:t>
            </w:r>
          </w:p>
        </w:tc>
        <w:tc>
          <w:tcPr>
            <w:tcW w:w="992"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58 597</w:t>
            </w:r>
          </w:p>
        </w:tc>
        <w:tc>
          <w:tcPr>
            <w:tcW w:w="993"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50 170</w:t>
            </w:r>
          </w:p>
        </w:tc>
        <w:tc>
          <w:tcPr>
            <w:tcW w:w="1134"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auto" w:fill="DAEEF3"/>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r w:rsidR="001E716A" w:rsidRPr="00BD5BB8" w:rsidTr="001E716A">
        <w:trPr>
          <w:trHeight w:val="210"/>
        </w:trPr>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156E73" w:rsidRPr="00BD5BB8" w:rsidRDefault="00156E73" w:rsidP="00156E73">
            <w:pPr>
              <w:spacing w:after="0" w:line="240" w:lineRule="auto"/>
              <w:jc w:val="center"/>
              <w:rPr>
                <w:rFonts w:ascii="Times New Roman" w:eastAsia="Times New Roman" w:hAnsi="Times New Roman" w:cs="Times New Roman"/>
                <w:b/>
                <w:color w:val="333333"/>
                <w:sz w:val="20"/>
                <w:szCs w:val="20"/>
                <w:lang w:eastAsia="bg-BG"/>
              </w:rPr>
            </w:pPr>
            <w:r w:rsidRPr="00BD5BB8">
              <w:rPr>
                <w:rFonts w:ascii="Times New Roman" w:eastAsia="Times New Roman" w:hAnsi="Times New Roman" w:cs="Times New Roman"/>
                <w:b/>
                <w:color w:val="333333"/>
                <w:sz w:val="20"/>
                <w:szCs w:val="20"/>
                <w:lang w:eastAsia="bg-BG"/>
              </w:rPr>
              <w:t>P256</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11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361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229</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979</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697</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156E73" w:rsidRPr="00BD5BB8" w:rsidRDefault="00156E73" w:rsidP="00C91DF9">
            <w:pPr>
              <w:spacing w:after="0" w:line="240" w:lineRule="auto"/>
              <w:jc w:val="right"/>
              <w:rPr>
                <w:rFonts w:ascii="Times New Roman" w:eastAsia="Times New Roman" w:hAnsi="Times New Roman" w:cs="Times New Roman"/>
                <w:color w:val="333333"/>
                <w:sz w:val="20"/>
                <w:szCs w:val="20"/>
                <w:lang w:eastAsia="bg-BG"/>
              </w:rPr>
            </w:pPr>
            <w:r w:rsidRPr="00BD5BB8">
              <w:rPr>
                <w:rFonts w:ascii="Times New Roman" w:eastAsia="Times New Roman" w:hAnsi="Times New Roman" w:cs="Times New Roman"/>
                <w:color w:val="333333"/>
                <w:sz w:val="20"/>
                <w:szCs w:val="20"/>
                <w:lang w:eastAsia="bg-BG"/>
              </w:rPr>
              <w:t>0</w:t>
            </w:r>
          </w:p>
        </w:tc>
      </w:tr>
    </w:tbl>
    <w:p w:rsidR="00156E73" w:rsidRPr="00BD5BB8" w:rsidRDefault="00156E73" w:rsidP="001E716A">
      <w:pPr>
        <w:spacing w:after="0" w:line="240" w:lineRule="auto"/>
        <w:ind w:right="425"/>
        <w:contextualSpacing/>
        <w:jc w:val="both"/>
        <w:rPr>
          <w:rFonts w:ascii="Times New Roman" w:eastAsia="Calibri" w:hAnsi="Times New Roman" w:cs="Times New Roman"/>
          <w:sz w:val="18"/>
          <w:szCs w:val="18"/>
        </w:rPr>
      </w:pPr>
      <w:r w:rsidRPr="00BD5BB8">
        <w:rPr>
          <w:rFonts w:ascii="Times New Roman" w:eastAsia="Calibri" w:hAnsi="Times New Roman" w:cs="Times New Roman"/>
          <w:sz w:val="18"/>
          <w:szCs w:val="18"/>
        </w:rPr>
        <w:t xml:space="preserve">Таблица 1. Разпределение на случаите по КП в частта „Физикална медицина и рехабилитация“, по възраст, за периода 2017-2018 година. </w:t>
      </w:r>
    </w:p>
    <w:p w:rsidR="00156E73" w:rsidRPr="00BD5BB8" w:rsidRDefault="00156E73" w:rsidP="00156E73">
      <w:pPr>
        <w:spacing w:after="0" w:line="240" w:lineRule="auto"/>
        <w:ind w:left="810"/>
        <w:contextualSpacing/>
        <w:jc w:val="both"/>
        <w:rPr>
          <w:rFonts w:ascii="Times New Roman" w:eastAsia="Calibri" w:hAnsi="Times New Roman" w:cs="Times New Roman"/>
          <w:sz w:val="24"/>
          <w:szCs w:val="24"/>
        </w:rPr>
      </w:pPr>
    </w:p>
    <w:p w:rsidR="00156E73" w:rsidRPr="00BD5BB8" w:rsidRDefault="00156E73" w:rsidP="00156E73">
      <w:pPr>
        <w:spacing w:after="0" w:line="240" w:lineRule="auto"/>
        <w:ind w:firstLine="709"/>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 xml:space="preserve">За разглеждания двугодишен период (2017 и 2018 г.), най-голям обем дейност е реализиран по КП №№: 264, 253, 254, 263, 262, 265, 256, във възрастовата група над 65 години. Тенденцията е във връзка с преобладаване на социално значимите и дегенеративни заболявания, манифестиращи се с нарастването на възрастта. </w:t>
      </w:r>
      <w:r w:rsidRPr="00BD5BB8">
        <w:rPr>
          <w:rFonts w:ascii="Times New Roman" w:eastAsia="Calibri" w:hAnsi="Times New Roman" w:cs="Times New Roman"/>
          <w:sz w:val="24"/>
          <w:szCs w:val="24"/>
        </w:rPr>
        <w:t>Значителен е броят на лицата над 55-годишна възраст, които са преминали за лечение по КП № 265 „Физикална терапия и рехабилитация при болести на опорно-двигателен апарат“. От общо 214 368 случая за 2017 и 2018 г., броят на лицата над 55-годишна възраст през 2017 г. е 75 697, а през 2018 година – 85 297.</w:t>
      </w:r>
    </w:p>
    <w:p w:rsidR="00156E73" w:rsidRPr="00BD5BB8" w:rsidRDefault="00156E73" w:rsidP="00156E73">
      <w:pPr>
        <w:spacing w:after="0" w:line="240" w:lineRule="auto"/>
        <w:ind w:firstLine="709"/>
        <w:contextualSpacing/>
        <w:jc w:val="both"/>
        <w:rPr>
          <w:rFonts w:ascii="Times New Roman" w:eastAsia="Calibri" w:hAnsi="Times New Roman" w:cs="Times New Roman"/>
          <w:sz w:val="24"/>
          <w:szCs w:val="24"/>
        </w:rPr>
      </w:pPr>
      <w:r w:rsidRPr="00BD5BB8">
        <w:rPr>
          <w:rFonts w:ascii="Times New Roman" w:eastAsia="Calibri" w:hAnsi="Times New Roman" w:cs="Times New Roman"/>
          <w:b/>
          <w:sz w:val="24"/>
          <w:szCs w:val="24"/>
        </w:rPr>
        <w:t>Обемът палиативни грижи по КП № 253 е във връзка с онкологичните заболявания и тяхната проява, свързана с характера на заболяването</w:t>
      </w:r>
      <w:r w:rsidRPr="00BD5BB8">
        <w:rPr>
          <w:rFonts w:ascii="Times New Roman" w:eastAsia="Calibri" w:hAnsi="Times New Roman" w:cs="Times New Roman"/>
          <w:sz w:val="24"/>
          <w:szCs w:val="24"/>
        </w:rPr>
        <w:t xml:space="preserve">, по време на целия активен живот на човека, </w:t>
      </w:r>
      <w:r w:rsidRPr="00BD5BB8">
        <w:rPr>
          <w:rFonts w:ascii="Times New Roman" w:eastAsia="Calibri" w:hAnsi="Times New Roman" w:cs="Times New Roman"/>
          <w:b/>
          <w:sz w:val="24"/>
          <w:szCs w:val="24"/>
        </w:rPr>
        <w:t>но с тенденция за нарастване след 65-годишна възраст</w:t>
      </w:r>
      <w:r w:rsidRPr="00BD5BB8">
        <w:rPr>
          <w:rFonts w:ascii="Times New Roman" w:eastAsia="Calibri" w:hAnsi="Times New Roman" w:cs="Times New Roman"/>
          <w:sz w:val="24"/>
          <w:szCs w:val="24"/>
        </w:rPr>
        <w:t xml:space="preserve">, поради отслабване на съпротивителните сили в процеса на остаряване.  </w:t>
      </w:r>
    </w:p>
    <w:p w:rsidR="005F2097" w:rsidRPr="00BD5BB8" w:rsidRDefault="005F2097" w:rsidP="005F2097">
      <w:pPr>
        <w:spacing w:after="0" w:line="240" w:lineRule="auto"/>
        <w:jc w:val="center"/>
        <w:rPr>
          <w:rFonts w:ascii="Times New Roman" w:hAnsi="Times New Roman"/>
          <w:b/>
          <w:sz w:val="24"/>
          <w:szCs w:val="24"/>
        </w:rPr>
      </w:pPr>
    </w:p>
    <w:p w:rsidR="005F2097" w:rsidRPr="00BD5BB8" w:rsidRDefault="005F2097" w:rsidP="005F2097">
      <w:pPr>
        <w:spacing w:after="0" w:line="240" w:lineRule="auto"/>
        <w:jc w:val="center"/>
        <w:rPr>
          <w:rFonts w:ascii="Times New Roman" w:hAnsi="Times New Roman"/>
          <w:b/>
          <w:color w:val="C00000"/>
          <w:sz w:val="24"/>
          <w:szCs w:val="24"/>
        </w:rPr>
      </w:pPr>
      <w:r w:rsidRPr="00BD5BB8">
        <w:rPr>
          <w:rFonts w:ascii="Times New Roman" w:hAnsi="Times New Roman"/>
          <w:b/>
          <w:color w:val="C00000"/>
          <w:sz w:val="24"/>
          <w:szCs w:val="24"/>
        </w:rPr>
        <w:t>МИНИСТЕРСТВО НА МЛАДЕЖТА И СПОРТА (ММС)</w:t>
      </w:r>
    </w:p>
    <w:p w:rsidR="005F2097" w:rsidRPr="00BD5BB8" w:rsidRDefault="005F2097" w:rsidP="005F2097">
      <w:pPr>
        <w:spacing w:after="0" w:line="240" w:lineRule="auto"/>
        <w:ind w:firstLine="709"/>
        <w:jc w:val="both"/>
        <w:rPr>
          <w:rFonts w:ascii="Times New Roman" w:hAnsi="Times New Roman" w:cs="Times New Roman"/>
          <w:sz w:val="24"/>
          <w:szCs w:val="24"/>
        </w:rPr>
      </w:pPr>
    </w:p>
    <w:p w:rsidR="0036754C" w:rsidRPr="00BD5BB8" w:rsidRDefault="0036754C" w:rsidP="0036754C">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Еди</w:t>
      </w:r>
      <w:r w:rsidRPr="00BD5BB8">
        <w:rPr>
          <w:rFonts w:ascii="Times New Roman" w:eastAsia="Courier New" w:hAnsi="Times New Roman" w:cs="Times New Roman"/>
          <w:color w:val="000000"/>
          <w:sz w:val="24"/>
          <w:szCs w:val="24"/>
          <w:lang w:eastAsia="bg-BG"/>
        </w:rPr>
        <w:t xml:space="preserve">н </w:t>
      </w:r>
      <w:r w:rsidRPr="00BD5BB8">
        <w:rPr>
          <w:rFonts w:ascii="Times New Roman" w:eastAsia="Times New Roman" w:hAnsi="Times New Roman" w:cs="Times New Roman"/>
          <w:color w:val="000000"/>
          <w:sz w:val="24"/>
          <w:szCs w:val="24"/>
          <w:lang w:eastAsia="bg-BG"/>
        </w:rPr>
        <w:t xml:space="preserve">от </w:t>
      </w:r>
      <w:r w:rsidRPr="00BD5BB8">
        <w:rPr>
          <w:rFonts w:ascii="Times New Roman" w:eastAsia="Arial" w:hAnsi="Times New Roman" w:cs="Times New Roman"/>
          <w:color w:val="000000"/>
          <w:sz w:val="24"/>
          <w:szCs w:val="24"/>
          <w:lang w:eastAsia="bg-BG"/>
        </w:rPr>
        <w:t xml:space="preserve">приоритетите </w:t>
      </w:r>
      <w:r w:rsidRPr="00BD5BB8">
        <w:rPr>
          <w:rFonts w:ascii="Times New Roman" w:eastAsia="Times New Roman" w:hAnsi="Times New Roman" w:cs="Times New Roman"/>
          <w:color w:val="000000"/>
          <w:sz w:val="24"/>
          <w:szCs w:val="24"/>
          <w:lang w:eastAsia="bg-BG"/>
        </w:rPr>
        <w:t>на М</w:t>
      </w:r>
      <w:r w:rsidRPr="00BD5BB8">
        <w:rPr>
          <w:rFonts w:ascii="Times New Roman" w:eastAsia="Arial" w:hAnsi="Times New Roman" w:cs="Times New Roman"/>
          <w:color w:val="000000"/>
          <w:sz w:val="24"/>
          <w:szCs w:val="24"/>
          <w:lang w:eastAsia="bg-BG"/>
        </w:rPr>
        <w:t>инистерството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младежта и спорта е осигуряването на условия и възможнос</w:t>
      </w:r>
      <w:r w:rsidRPr="00BD5BB8">
        <w:rPr>
          <w:rFonts w:ascii="Times New Roman" w:eastAsia="Times New Roman" w:hAnsi="Times New Roman" w:cs="Times New Roman"/>
          <w:color w:val="000000"/>
          <w:sz w:val="24"/>
          <w:szCs w:val="24"/>
          <w:lang w:eastAsia="bg-BG"/>
        </w:rPr>
        <w:t>ти за укрепващ</w:t>
      </w:r>
      <w:r w:rsidRPr="00BD5BB8">
        <w:rPr>
          <w:rFonts w:ascii="Times New Roman" w:eastAsia="Arial" w:hAnsi="Times New Roman" w:cs="Times New Roman"/>
          <w:color w:val="000000"/>
          <w:sz w:val="24"/>
          <w:szCs w:val="24"/>
          <w:lang w:eastAsia="bg-BG"/>
        </w:rPr>
        <w:t xml:space="preserve">а здравето физическа активност, практикуване на спорт за всички и изпълнение на програми и проекти за спорта за всички, в т.ч. и осигуряване на възможности за участие в спортни дейности и занимания с физически упражнения на хора над трудоспособна възраст. </w:t>
      </w:r>
    </w:p>
    <w:p w:rsidR="0036754C" w:rsidRPr="00BD5BB8" w:rsidRDefault="0036754C" w:rsidP="0036754C">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През отчетния период ММС успешно реализира „Програма за развитие на спорта за всички“. Програмата предоставя възможности н</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 xml:space="preserve">многоспортови федерации </w:t>
      </w:r>
      <w:r w:rsidRPr="00BD5BB8">
        <w:rPr>
          <w:rFonts w:ascii="Times New Roman" w:eastAsia="Courier New" w:hAnsi="Times New Roman" w:cs="Times New Roman"/>
          <w:color w:val="000000"/>
          <w:sz w:val="24"/>
          <w:szCs w:val="24"/>
          <w:lang w:eastAsia="bg-BG"/>
        </w:rPr>
        <w:t xml:space="preserve">и </w:t>
      </w:r>
      <w:r w:rsidRPr="00BD5BB8">
        <w:rPr>
          <w:rFonts w:ascii="Times New Roman" w:eastAsia="Arial" w:hAnsi="Times New Roman" w:cs="Times New Roman"/>
          <w:color w:val="000000"/>
          <w:sz w:val="24"/>
          <w:szCs w:val="24"/>
          <w:lang w:eastAsia="bg-BG"/>
        </w:rPr>
        <w:t xml:space="preserve">национални спортни организации да получават ежегодно </w:t>
      </w:r>
      <w:r w:rsidRPr="00BD5BB8">
        <w:rPr>
          <w:rFonts w:ascii="Times New Roman" w:eastAsia="Times New Roman" w:hAnsi="Times New Roman" w:cs="Times New Roman"/>
          <w:color w:val="000000"/>
          <w:sz w:val="24"/>
          <w:szCs w:val="24"/>
          <w:lang w:eastAsia="bg-BG"/>
        </w:rPr>
        <w:t>фи</w:t>
      </w:r>
      <w:r w:rsidRPr="00BD5BB8">
        <w:rPr>
          <w:rFonts w:ascii="Times New Roman" w:eastAsia="Arial" w:hAnsi="Times New Roman" w:cs="Times New Roman"/>
          <w:color w:val="000000"/>
          <w:sz w:val="24"/>
          <w:szCs w:val="24"/>
          <w:lang w:eastAsia="bg-BG"/>
        </w:rPr>
        <w:t>нансово подпомагане за съответната годин</w:t>
      </w:r>
      <w:r w:rsidRPr="00BD5BB8">
        <w:rPr>
          <w:rFonts w:ascii="Times New Roman" w:eastAsia="Times New Roman" w:hAnsi="Times New Roman" w:cs="Times New Roman"/>
          <w:color w:val="000000"/>
          <w:sz w:val="24"/>
          <w:szCs w:val="24"/>
          <w:lang w:eastAsia="bg-BG"/>
        </w:rPr>
        <w:t>а з</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изпълнени</w:t>
      </w:r>
      <w:r w:rsidRPr="00BD5BB8">
        <w:rPr>
          <w:rFonts w:ascii="Times New Roman" w:eastAsia="Times New Roman" w:hAnsi="Times New Roman" w:cs="Times New Roman"/>
          <w:color w:val="000000"/>
          <w:sz w:val="24"/>
          <w:szCs w:val="24"/>
          <w:lang w:eastAsia="bg-BG"/>
        </w:rPr>
        <w:t>е н</w:t>
      </w:r>
      <w:r w:rsidRPr="00BD5BB8">
        <w:rPr>
          <w:rFonts w:ascii="Times New Roman" w:eastAsia="Courier New"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дейности, свързани с осигуряване на възможности на граждани от различни групи от населението, независимо от тяхната възраст, пол, социално положение, вероизповедание, политическа или етническа принадлежност, в т.ч. възрастни хора и ветерани спортисти или любители на спорта, за участие в спорт</w:t>
      </w:r>
      <w:r w:rsidRPr="00BD5BB8">
        <w:rPr>
          <w:rFonts w:ascii="Times New Roman" w:eastAsia="Times New Roman" w:hAnsi="Times New Roman" w:cs="Times New Roman"/>
          <w:color w:val="000000"/>
          <w:sz w:val="24"/>
          <w:szCs w:val="24"/>
          <w:lang w:eastAsia="bg-BG"/>
        </w:rPr>
        <w:t xml:space="preserve">ни </w:t>
      </w:r>
      <w:r w:rsidRPr="00BD5BB8">
        <w:rPr>
          <w:rFonts w:ascii="Times New Roman" w:eastAsia="Arial" w:hAnsi="Times New Roman" w:cs="Times New Roman"/>
          <w:color w:val="000000"/>
          <w:sz w:val="24"/>
          <w:szCs w:val="24"/>
          <w:lang w:eastAsia="bg-BG"/>
        </w:rPr>
        <w:t>прояви от държавен (ДСК) и международен спортен календар (МСК), като: спортни състезания, прегледи, масови спортни прояви и др. по разли</w:t>
      </w:r>
      <w:r w:rsidRPr="00BD5BB8">
        <w:rPr>
          <w:rFonts w:ascii="Times New Roman" w:eastAsia="Times New Roman" w:hAnsi="Times New Roman" w:cs="Times New Roman"/>
          <w:color w:val="000000"/>
          <w:sz w:val="24"/>
          <w:szCs w:val="24"/>
          <w:lang w:eastAsia="bg-BG"/>
        </w:rPr>
        <w:t xml:space="preserve">чни </w:t>
      </w:r>
      <w:r w:rsidRPr="00BD5BB8">
        <w:rPr>
          <w:rFonts w:ascii="Times New Roman" w:eastAsia="Arial" w:hAnsi="Times New Roman" w:cs="Times New Roman"/>
          <w:color w:val="000000"/>
          <w:sz w:val="24"/>
          <w:szCs w:val="24"/>
          <w:lang w:eastAsia="bg-BG"/>
        </w:rPr>
        <w:t xml:space="preserve">видове спорт, организирани и провеждани от спортни организации. </w:t>
      </w:r>
    </w:p>
    <w:p w:rsidR="0036754C" w:rsidRPr="00BD5BB8" w:rsidRDefault="0036754C" w:rsidP="0036754C">
      <w:pPr>
        <w:widowControl w:val="0"/>
        <w:pBdr>
          <w:top w:val="nil"/>
          <w:left w:val="nil"/>
          <w:bottom w:val="nil"/>
          <w:right w:val="nil"/>
          <w:between w:val="nil"/>
        </w:pBdr>
        <w:spacing w:after="0" w:line="240" w:lineRule="auto"/>
        <w:ind w:firstLine="709"/>
        <w:jc w:val="both"/>
        <w:rPr>
          <w:rFonts w:ascii="Times New Roman" w:eastAsia="Arial" w:hAnsi="Times New Roman" w:cs="Times New Roman"/>
          <w:color w:val="000000"/>
          <w:sz w:val="24"/>
          <w:szCs w:val="24"/>
          <w:lang w:eastAsia="bg-BG"/>
        </w:rPr>
      </w:pPr>
      <w:r w:rsidRPr="00BD5BB8">
        <w:rPr>
          <w:rFonts w:ascii="Times New Roman" w:eastAsia="Arial" w:hAnsi="Times New Roman" w:cs="Times New Roman"/>
          <w:color w:val="000000"/>
          <w:sz w:val="24"/>
          <w:szCs w:val="24"/>
          <w:lang w:eastAsia="bg-BG"/>
        </w:rPr>
        <w:t xml:space="preserve">Спортни организации, предоставящи </w:t>
      </w:r>
      <w:r w:rsidRPr="00BD5BB8">
        <w:rPr>
          <w:rFonts w:ascii="Times New Roman" w:eastAsia="Times New Roman" w:hAnsi="Times New Roman" w:cs="Times New Roman"/>
          <w:color w:val="000000"/>
          <w:sz w:val="24"/>
          <w:szCs w:val="24"/>
          <w:lang w:eastAsia="bg-BG"/>
        </w:rPr>
        <w:t>усл</w:t>
      </w:r>
      <w:r w:rsidRPr="00BD5BB8">
        <w:rPr>
          <w:rFonts w:ascii="Times New Roman" w:eastAsia="Arial" w:hAnsi="Times New Roman" w:cs="Times New Roman"/>
          <w:color w:val="000000"/>
          <w:sz w:val="24"/>
          <w:szCs w:val="24"/>
          <w:lang w:eastAsia="bg-BG"/>
        </w:rPr>
        <w:t>уги, като организиране на спортни дейности з</w:t>
      </w:r>
      <w:r w:rsidRPr="00BD5BB8">
        <w:rPr>
          <w:rFonts w:ascii="Times New Roman" w:eastAsia="Times New Roman" w:hAnsi="Times New Roman" w:cs="Times New Roman"/>
          <w:color w:val="000000"/>
          <w:sz w:val="24"/>
          <w:szCs w:val="24"/>
          <w:lang w:eastAsia="bg-BG"/>
        </w:rPr>
        <w:t xml:space="preserve">а </w:t>
      </w:r>
      <w:r w:rsidRPr="00BD5BB8">
        <w:rPr>
          <w:rFonts w:ascii="Times New Roman" w:eastAsia="Arial" w:hAnsi="Times New Roman" w:cs="Times New Roman"/>
          <w:color w:val="000000"/>
          <w:sz w:val="24"/>
          <w:szCs w:val="24"/>
          <w:lang w:eastAsia="bg-BG"/>
        </w:rPr>
        <w:t>повишаване на физическата активност и практикуване на спорт от целевата гру</w:t>
      </w:r>
      <w:r w:rsidRPr="00BD5BB8">
        <w:rPr>
          <w:rFonts w:ascii="Times New Roman" w:eastAsia="Courier New" w:hAnsi="Times New Roman" w:cs="Times New Roman"/>
          <w:color w:val="000000"/>
          <w:sz w:val="24"/>
          <w:szCs w:val="24"/>
          <w:lang w:eastAsia="bg-BG"/>
        </w:rPr>
        <w:t>па на</w:t>
      </w:r>
      <w:r w:rsidRPr="00BD5BB8">
        <w:rPr>
          <w:rFonts w:ascii="Times New Roman" w:eastAsia="Arial" w:hAnsi="Times New Roman" w:cs="Times New Roman"/>
          <w:color w:val="000000"/>
          <w:sz w:val="24"/>
          <w:szCs w:val="24"/>
          <w:lang w:eastAsia="bg-BG"/>
        </w:rPr>
        <w:t>д трудоспособна възраст и чрез които ММС подпомага т</w:t>
      </w:r>
      <w:r w:rsidRPr="00BD5BB8">
        <w:rPr>
          <w:rFonts w:ascii="Times New Roman" w:eastAsia="Courier New" w:hAnsi="Times New Roman" w:cs="Times New Roman"/>
          <w:color w:val="000000"/>
          <w:sz w:val="24"/>
          <w:szCs w:val="24"/>
          <w:lang w:eastAsia="bg-BG"/>
        </w:rPr>
        <w:t>а</w:t>
      </w:r>
      <w:r w:rsidRPr="00BD5BB8">
        <w:rPr>
          <w:rFonts w:ascii="Times New Roman" w:eastAsia="Arial" w:hAnsi="Times New Roman" w:cs="Times New Roman"/>
          <w:color w:val="000000"/>
          <w:sz w:val="24"/>
          <w:szCs w:val="24"/>
          <w:lang w:eastAsia="bg-BG"/>
        </w:rPr>
        <w:t xml:space="preserve">кива дейности са Българска мастърс федерация (БМФ) и Българска асоциация „Спорт за всички“ (БАСВ). </w:t>
      </w:r>
    </w:p>
    <w:p w:rsidR="0036754C" w:rsidRPr="00BD5BB8" w:rsidRDefault="0036754C" w:rsidP="0036754C">
      <w:pPr>
        <w:widowControl w:val="0"/>
        <w:pBdr>
          <w:top w:val="nil"/>
          <w:left w:val="nil"/>
          <w:bottom w:val="nil"/>
          <w:right w:val="nil"/>
          <w:between w:val="nil"/>
        </w:pBdr>
        <w:spacing w:after="0" w:line="240" w:lineRule="auto"/>
        <w:ind w:firstLine="709"/>
        <w:jc w:val="both"/>
        <w:rPr>
          <w:rFonts w:ascii="Times New Roman" w:eastAsia="Arial" w:hAnsi="Times New Roman" w:cs="Times New Roman"/>
          <w:sz w:val="24"/>
          <w:szCs w:val="24"/>
          <w:lang w:eastAsia="bg-BG"/>
        </w:rPr>
      </w:pPr>
      <w:r w:rsidRPr="00BD5BB8">
        <w:rPr>
          <w:rFonts w:ascii="Times New Roman" w:eastAsia="Arial" w:hAnsi="Times New Roman" w:cs="Times New Roman"/>
          <w:sz w:val="24"/>
          <w:szCs w:val="24"/>
          <w:lang w:eastAsia="bg-BG"/>
        </w:rPr>
        <w:lastRenderedPageBreak/>
        <w:t>През 2017-2018 г. с финансовата подкрепа на MMC в размер на 158 000 лева от БМФ са реализирани 35 прояви от ДСК c 4 161 участника и 14 прояви от МСК с 464 участника. Част от тези прояви са: държавни първенства по ски, плуване, планинско бягане, тенис на маса, баскетбол, ми</w:t>
      </w:r>
      <w:r w:rsidRPr="00BD5BB8">
        <w:rPr>
          <w:rFonts w:ascii="Times New Roman" w:eastAsia="Times New Roman" w:hAnsi="Times New Roman" w:cs="Times New Roman"/>
          <w:sz w:val="24"/>
          <w:szCs w:val="24"/>
          <w:lang w:eastAsia="bg-BG"/>
        </w:rPr>
        <w:t>ни ф</w:t>
      </w:r>
      <w:r w:rsidRPr="00BD5BB8">
        <w:rPr>
          <w:rFonts w:ascii="Times New Roman" w:eastAsia="Arial" w:hAnsi="Times New Roman" w:cs="Times New Roman"/>
          <w:sz w:val="24"/>
          <w:szCs w:val="24"/>
          <w:lang w:eastAsia="bg-BG"/>
        </w:rPr>
        <w:t xml:space="preserve">утбол, хвърляния, тенис, </w:t>
      </w:r>
      <w:r w:rsidRPr="00BD5BB8">
        <w:rPr>
          <w:rFonts w:ascii="Times New Roman" w:eastAsia="Times New Roman" w:hAnsi="Times New Roman" w:cs="Times New Roman"/>
          <w:sz w:val="24"/>
          <w:szCs w:val="24"/>
          <w:lang w:eastAsia="bg-BG"/>
        </w:rPr>
        <w:t xml:space="preserve">лека </w:t>
      </w:r>
      <w:r w:rsidRPr="00BD5BB8">
        <w:rPr>
          <w:rFonts w:ascii="Times New Roman" w:eastAsia="Arial" w:hAnsi="Times New Roman" w:cs="Times New Roman"/>
          <w:sz w:val="24"/>
          <w:szCs w:val="24"/>
          <w:lang w:eastAsia="bg-BG"/>
        </w:rPr>
        <w:t xml:space="preserve">атлетика, волейбол, водна топка, тенис на маса, кану-каяк, гребане, борба, бадминтон и вдигане на тежести. Международните прояви, в които са взели участие представители на БМФ са: Световни и европейски първенства и игри по различни видове спорт за ветерани спортисти, Балканиади и др. </w:t>
      </w:r>
    </w:p>
    <w:p w:rsidR="005F2097" w:rsidRPr="00BD5BB8" w:rsidRDefault="0036754C" w:rsidP="0036754C">
      <w:pPr>
        <w:spacing w:after="0" w:line="240" w:lineRule="auto"/>
        <w:ind w:firstLine="709"/>
        <w:contextualSpacing/>
        <w:jc w:val="both"/>
        <w:rPr>
          <w:rFonts w:ascii="Times New Roman" w:eastAsia="Times New Roman" w:hAnsi="Times New Roman" w:cs="Times New Roman"/>
          <w:b/>
          <w:sz w:val="24"/>
          <w:szCs w:val="24"/>
          <w:lang w:eastAsia="bg-BG"/>
        </w:rPr>
      </w:pPr>
      <w:r w:rsidRPr="00BD5BB8">
        <w:rPr>
          <w:rFonts w:ascii="Times New Roman" w:eastAsia="Arial" w:hAnsi="Times New Roman" w:cs="Times New Roman"/>
          <w:sz w:val="24"/>
          <w:szCs w:val="24"/>
          <w:lang w:eastAsia="bg-BG"/>
        </w:rPr>
        <w:t>За съпция период с финансовата подкрепа на MMC в размер на 197 000 лева, от БАСВ са реализирани 18 прояви от ДСК по</w:t>
      </w:r>
      <w:r w:rsidRPr="00BD5BB8">
        <w:rPr>
          <w:rFonts w:ascii="Times New Roman" w:eastAsia="Courier New" w:hAnsi="Times New Roman" w:cs="Times New Roman"/>
          <w:sz w:val="24"/>
          <w:szCs w:val="24"/>
          <w:lang w:eastAsia="bg-BG"/>
        </w:rPr>
        <w:t xml:space="preserve">д </w:t>
      </w:r>
      <w:r w:rsidRPr="00BD5BB8">
        <w:rPr>
          <w:rFonts w:ascii="Times New Roman" w:eastAsia="Arial" w:hAnsi="Times New Roman" w:cs="Times New Roman"/>
          <w:sz w:val="24"/>
          <w:szCs w:val="24"/>
          <w:lang w:eastAsia="bg-BG"/>
        </w:rPr>
        <w:t>мотото „За спорт</w:t>
      </w:r>
      <w:r w:rsidRPr="00BD5BB8">
        <w:rPr>
          <w:rFonts w:ascii="Times New Roman" w:eastAsia="Times New Roman" w:hAnsi="Times New Roman" w:cs="Times New Roman"/>
          <w:sz w:val="24"/>
          <w:szCs w:val="24"/>
          <w:lang w:eastAsia="bg-BG"/>
        </w:rPr>
        <w:t xml:space="preserve">а няма </w:t>
      </w:r>
      <w:r w:rsidRPr="00BD5BB8">
        <w:rPr>
          <w:rFonts w:ascii="Times New Roman" w:eastAsia="Arial" w:hAnsi="Times New Roman" w:cs="Times New Roman"/>
          <w:sz w:val="24"/>
          <w:szCs w:val="24"/>
          <w:lang w:eastAsia="bg-BG"/>
        </w:rPr>
        <w:t>възраст“ с участието на 32 спортни клубове „Здраве и активно дълголетие“ с 4 815 участника. БАСВ е реализирала и други масови спортни прояви и кампани</w:t>
      </w:r>
      <w:r w:rsidRPr="00BD5BB8">
        <w:rPr>
          <w:rFonts w:ascii="Times New Roman" w:eastAsia="Times New Roman" w:hAnsi="Times New Roman" w:cs="Times New Roman"/>
          <w:sz w:val="24"/>
          <w:szCs w:val="24"/>
          <w:lang w:eastAsia="bg-BG"/>
        </w:rPr>
        <w:t>и ка</w:t>
      </w:r>
      <w:r w:rsidRPr="00BD5BB8">
        <w:rPr>
          <w:rFonts w:ascii="Times New Roman" w:eastAsia="Arial" w:hAnsi="Times New Roman" w:cs="Times New Roman"/>
          <w:sz w:val="24"/>
          <w:szCs w:val="24"/>
          <w:lang w:eastAsia="bg-BG"/>
        </w:rPr>
        <w:t>то: „Зимно предизвикателство“, „Световен де</w:t>
      </w:r>
      <w:r w:rsidRPr="00BD5BB8">
        <w:rPr>
          <w:rFonts w:ascii="Times New Roman" w:eastAsia="Courier New" w:hAnsi="Times New Roman" w:cs="Times New Roman"/>
          <w:sz w:val="24"/>
          <w:szCs w:val="24"/>
          <w:lang w:eastAsia="bg-BG"/>
        </w:rPr>
        <w:t xml:space="preserve">н </w:t>
      </w:r>
      <w:r w:rsidRPr="00BD5BB8">
        <w:rPr>
          <w:rFonts w:ascii="Times New Roman" w:eastAsia="Times New Roman" w:hAnsi="Times New Roman" w:cs="Times New Roman"/>
          <w:sz w:val="24"/>
          <w:szCs w:val="24"/>
          <w:lang w:eastAsia="bg-BG"/>
        </w:rPr>
        <w:t xml:space="preserve">на </w:t>
      </w:r>
      <w:r w:rsidRPr="00BD5BB8">
        <w:rPr>
          <w:rFonts w:ascii="Times New Roman" w:eastAsia="Arial" w:hAnsi="Times New Roman" w:cs="Times New Roman"/>
          <w:sz w:val="24"/>
          <w:szCs w:val="24"/>
          <w:lang w:eastAsia="bg-BG"/>
        </w:rPr>
        <w:t>предизвикателството“; „Световен ден на ходенето“ и др., в които няма ограничения по отношение на възрастта и в които също се включват хора над трудоспособна възраст.</w:t>
      </w:r>
    </w:p>
    <w:p w:rsidR="005F2097" w:rsidRPr="00BD5BB8" w:rsidRDefault="005F2097" w:rsidP="005F2097">
      <w:pPr>
        <w:spacing w:after="0" w:line="240" w:lineRule="auto"/>
        <w:ind w:firstLine="709"/>
        <w:jc w:val="both"/>
        <w:rPr>
          <w:rFonts w:ascii="Times New Roman" w:hAnsi="Times New Roman" w:cs="Times New Roman"/>
          <w:sz w:val="24"/>
          <w:szCs w:val="24"/>
        </w:rPr>
      </w:pPr>
    </w:p>
    <w:p w:rsidR="005F2097" w:rsidRPr="00BD5BB8" w:rsidRDefault="005F2097" w:rsidP="005F2097">
      <w:pPr>
        <w:spacing w:after="0" w:line="240" w:lineRule="auto"/>
        <w:ind w:firstLine="709"/>
        <w:jc w:val="both"/>
        <w:rPr>
          <w:rFonts w:ascii="Times New Roman" w:hAnsi="Times New Roman" w:cs="Times New Roman"/>
          <w:sz w:val="24"/>
          <w:szCs w:val="24"/>
        </w:rPr>
      </w:pPr>
    </w:p>
    <w:p w:rsidR="00B40951" w:rsidRPr="00BD5BB8" w:rsidRDefault="00B40951" w:rsidP="005F2097">
      <w:pPr>
        <w:spacing w:after="0" w:line="240" w:lineRule="auto"/>
        <w:ind w:firstLine="709"/>
        <w:jc w:val="both"/>
        <w:rPr>
          <w:rFonts w:ascii="Times New Roman" w:hAnsi="Times New Roman" w:cs="Times New Roman"/>
          <w:sz w:val="24"/>
          <w:szCs w:val="24"/>
        </w:rPr>
      </w:pPr>
    </w:p>
    <w:p w:rsidR="00B40951" w:rsidRPr="00BD5BB8" w:rsidRDefault="00B40951" w:rsidP="005F2097">
      <w:pPr>
        <w:spacing w:after="0" w:line="240" w:lineRule="auto"/>
        <w:ind w:firstLine="709"/>
        <w:jc w:val="both"/>
        <w:rPr>
          <w:rFonts w:ascii="Times New Roman" w:hAnsi="Times New Roman" w:cs="Times New Roman"/>
          <w:sz w:val="24"/>
          <w:szCs w:val="24"/>
        </w:rPr>
      </w:pPr>
    </w:p>
    <w:p w:rsidR="005F2097" w:rsidRPr="00BD5BB8" w:rsidRDefault="005F2097" w:rsidP="005F2097">
      <w:pPr>
        <w:shd w:val="clear" w:color="auto" w:fill="92D050"/>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Оперативна цел № 4</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 xml:space="preserve">Осигуряване на условия за достъп до образование, за учене през целия живот, за повишаване на квалификацията и за преквалификация на възрастните хора с оглед на подобряване на мобилността им на пазара </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на труда</w:t>
      </w:r>
    </w:p>
    <w:p w:rsidR="005F2097" w:rsidRPr="00BD5BB8" w:rsidRDefault="005F2097" w:rsidP="005F2097">
      <w:pPr>
        <w:spacing w:after="0" w:line="240" w:lineRule="auto"/>
        <w:contextualSpacing/>
        <w:jc w:val="both"/>
        <w:rPr>
          <w:rFonts w:ascii="Times New Roman" w:eastAsia="Times New Roman" w:hAnsi="Times New Roman" w:cs="Times New Roman"/>
          <w:b/>
          <w:sz w:val="24"/>
          <w:szCs w:val="24"/>
          <w:lang w:eastAsia="bg-BG"/>
        </w:rPr>
      </w:pP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3.4. Мерки за oсигуряване на условия за достъп до образование, за учене през целия живот, за повишаване на квалификацията и за преквалификация на възрастните хора с оглед на подобряване на мобилността им на пазара на труда по Оперативна цел 4</w:t>
      </w:r>
    </w:p>
    <w:p w:rsidR="005F2097" w:rsidRPr="00BD5BB8" w:rsidRDefault="005F2097" w:rsidP="005F2097">
      <w:pPr>
        <w:spacing w:after="0" w:line="240" w:lineRule="auto"/>
        <w:contextualSpacing/>
        <w:jc w:val="center"/>
        <w:rPr>
          <w:rFonts w:ascii="Times New Roman" w:eastAsia="Times New Roman" w:hAnsi="Times New Roman" w:cs="Times New Roman"/>
          <w:b/>
          <w:sz w:val="24"/>
          <w:szCs w:val="24"/>
          <w:lang w:eastAsia="bg-BG"/>
        </w:rPr>
      </w:pPr>
    </w:p>
    <w:p w:rsidR="00E60474" w:rsidRPr="00BD5BB8" w:rsidRDefault="00E60474" w:rsidP="00E60474">
      <w:pPr>
        <w:spacing w:after="0" w:line="240" w:lineRule="auto"/>
        <w:jc w:val="center"/>
        <w:rPr>
          <w:rFonts w:ascii="Times New Roman" w:hAnsi="Times New Roman" w:cs="Times New Roman"/>
          <w:b/>
          <w:caps/>
          <w:color w:val="C0504D" w:themeColor="accent2"/>
          <w:sz w:val="24"/>
          <w:szCs w:val="24"/>
        </w:rPr>
      </w:pPr>
      <w:r w:rsidRPr="00BD5BB8">
        <w:rPr>
          <w:rFonts w:ascii="Times New Roman" w:hAnsi="Times New Roman" w:cs="Times New Roman"/>
          <w:b/>
          <w:caps/>
          <w:color w:val="C0504D" w:themeColor="accent2"/>
          <w:sz w:val="24"/>
          <w:szCs w:val="24"/>
        </w:rPr>
        <w:t>ИНСТИТУТ ЗА ИЗСЛЕДВАНЕ НА ОБЩЕСТВАТА И ЗНАНИЕТО – БАН</w:t>
      </w:r>
    </w:p>
    <w:p w:rsidR="00E60474" w:rsidRPr="00BD5BB8" w:rsidRDefault="00E60474" w:rsidP="00E60474">
      <w:pPr>
        <w:spacing w:after="0" w:line="240" w:lineRule="auto"/>
        <w:jc w:val="center"/>
        <w:rPr>
          <w:rFonts w:ascii="Times New Roman" w:hAnsi="Times New Roman" w:cs="Times New Roman"/>
          <w:b/>
          <w:caps/>
          <w:color w:val="C0504D" w:themeColor="accent2"/>
          <w:sz w:val="24"/>
          <w:szCs w:val="24"/>
        </w:rPr>
      </w:pPr>
    </w:p>
    <w:p w:rsidR="00E60474" w:rsidRPr="00BD5BB8" w:rsidRDefault="00E60474" w:rsidP="00E60474">
      <w:pPr>
        <w:spacing w:after="0" w:line="360" w:lineRule="auto"/>
        <w:ind w:left="357"/>
        <w:contextualSpacing/>
        <w:jc w:val="center"/>
        <w:rPr>
          <w:rFonts w:ascii="Times New Roman" w:eastAsia="Calibri" w:hAnsi="Times New Roman" w:cs="Times New Roman"/>
          <w:b/>
          <w:bCs/>
          <w:sz w:val="24"/>
          <w:szCs w:val="24"/>
        </w:rPr>
      </w:pPr>
      <w:r w:rsidRPr="00BD5BB8">
        <w:rPr>
          <w:rFonts w:ascii="Times New Roman" w:eastAsia="Calibri" w:hAnsi="Times New Roman" w:cs="Times New Roman"/>
          <w:b/>
          <w:bCs/>
          <w:sz w:val="24"/>
          <w:szCs w:val="24"/>
        </w:rPr>
        <w:t>Насърчаване на ученето през целия живот</w:t>
      </w:r>
    </w:p>
    <w:p w:rsidR="00E60474" w:rsidRPr="00BD5BB8" w:rsidRDefault="00E60474" w:rsidP="00E60474">
      <w:pPr>
        <w:spacing w:after="0" w:line="240" w:lineRule="auto"/>
        <w:ind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sz w:val="24"/>
          <w:szCs w:val="24"/>
        </w:rPr>
        <w:t xml:space="preserve">Екип от ИИОЗ работи по международен научно-изследователски проект, финансиран по Хоризонт 2020: </w:t>
      </w:r>
      <w:r w:rsidRPr="00BD5BB8">
        <w:rPr>
          <w:rFonts w:ascii="Times New Roman" w:eastAsia="Calibri" w:hAnsi="Times New Roman" w:cs="Times New Roman"/>
          <w:iCs/>
          <w:sz w:val="24"/>
          <w:szCs w:val="24"/>
        </w:rPr>
        <w:t>ENLIVEN “Стимулиране на ученето през целия живот за изграждане на включваща и социално чувствителна Европа”</w:t>
      </w:r>
      <w:r w:rsidRPr="00BD5BB8">
        <w:rPr>
          <w:rFonts w:ascii="Times New Roman" w:eastAsia="Calibri" w:hAnsi="Times New Roman" w:cs="Times New Roman"/>
          <w:b/>
          <w:bCs/>
          <w:sz w:val="24"/>
          <w:szCs w:val="24"/>
        </w:rPr>
        <w:t xml:space="preserve"> </w:t>
      </w:r>
      <w:r w:rsidRPr="00BD5BB8">
        <w:rPr>
          <w:rFonts w:ascii="Times New Roman" w:eastAsia="Calibri" w:hAnsi="Times New Roman" w:cs="Times New Roman"/>
          <w:iCs/>
          <w:sz w:val="24"/>
          <w:szCs w:val="24"/>
        </w:rPr>
        <w:t>(01.10.2016-30.09.2019) с ръководител на българския екип проф. Пепка Бояджиева.</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 xml:space="preserve">В рамките на проекта са: </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1.Картографирани основните политики на национално и европейско ниво в областта на ученето през целия живот.</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2.Идентифицирани са основните социални актьори на национално и европейско ниво, ангажирани с политиките за учене през целия живот.</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3. Откроени са основните фактори, влияещи върху участието в ученето през целия живот на базата на анализи на данни от международни сравнителни изследвания (напр. Изследването на образованието на възрастни).</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lastRenderedPageBreak/>
        <w:t>4. Подготвени са специализирани анализи на конкретни социални групи от гледна точка на включването им в образователната система (напр. NEETs).</w:t>
      </w:r>
    </w:p>
    <w:p w:rsidR="00E60474" w:rsidRPr="00BD5BB8" w:rsidRDefault="00E60474" w:rsidP="00E60474">
      <w:pPr>
        <w:spacing w:after="0" w:line="240" w:lineRule="auto"/>
        <w:ind w:left="357" w:firstLine="709"/>
        <w:contextualSpacing/>
        <w:jc w:val="both"/>
        <w:rPr>
          <w:rFonts w:ascii="Times New Roman" w:eastAsia="Calibri" w:hAnsi="Times New Roman" w:cs="Times New Roman"/>
          <w:bCs/>
          <w:sz w:val="24"/>
          <w:szCs w:val="24"/>
        </w:rPr>
      </w:pPr>
      <w:r w:rsidRPr="00BD5BB8">
        <w:rPr>
          <w:rFonts w:ascii="Times New Roman" w:eastAsia="Calibri" w:hAnsi="Times New Roman" w:cs="Times New Roman"/>
          <w:bCs/>
          <w:sz w:val="24"/>
          <w:szCs w:val="24"/>
        </w:rPr>
        <w:t>5. Всички тези анализи и резултатите от тях осигуряват ценна информационна база за „Интелигентна система за подкрепа на вземане на решения”, която се разработва в рамките на проекта. Тя ще осигурява актуална и много по-обоснована информационна база, която да се използва за политически дебати и вземане на решения в областта на ученето на възрастни, като предоставя полезна информация на хората, ангажирани в правенето на политики на ниво Европейски съюз. А на национално ниво тя допринася за повишаване на предлагането и реализирането на възможности за възрастни, което би довело до по-продуктивна и иновативна работна сила и до намаляване на социалното изключване.</w:t>
      </w:r>
    </w:p>
    <w:p w:rsidR="00E60474" w:rsidRPr="00BD5BB8" w:rsidRDefault="00E60474" w:rsidP="005F2097">
      <w:pPr>
        <w:spacing w:after="0" w:line="240" w:lineRule="auto"/>
        <w:contextualSpacing/>
        <w:jc w:val="center"/>
        <w:rPr>
          <w:rFonts w:ascii="Times New Roman" w:eastAsia="Times New Roman" w:hAnsi="Times New Roman" w:cs="Times New Roman"/>
          <w:b/>
          <w:sz w:val="24"/>
          <w:szCs w:val="24"/>
          <w:lang w:eastAsia="bg-BG"/>
        </w:rPr>
      </w:pPr>
    </w:p>
    <w:p w:rsidR="005F2097" w:rsidRPr="00BD5BB8" w:rsidRDefault="005F2097" w:rsidP="005F2097">
      <w:pPr>
        <w:spacing w:after="0" w:line="240" w:lineRule="auto"/>
        <w:jc w:val="center"/>
        <w:rPr>
          <w:rFonts w:ascii="Times New Roman" w:hAnsi="Times New Roman" w:cs="Times New Roman"/>
          <w:b/>
          <w:color w:val="C00000"/>
          <w:sz w:val="24"/>
          <w:szCs w:val="24"/>
        </w:rPr>
      </w:pPr>
      <w:r w:rsidRPr="00BD5BB8">
        <w:rPr>
          <w:rFonts w:ascii="Times New Roman" w:hAnsi="Times New Roman" w:cs="Times New Roman"/>
          <w:b/>
          <w:caps/>
          <w:color w:val="C00000"/>
          <w:sz w:val="24"/>
          <w:szCs w:val="24"/>
        </w:rPr>
        <w:t>Министерство на образованието и науката</w:t>
      </w:r>
      <w:r w:rsidRPr="00BD5BB8">
        <w:rPr>
          <w:rFonts w:ascii="Times New Roman" w:hAnsi="Times New Roman" w:cs="Times New Roman"/>
          <w:b/>
          <w:color w:val="C00000"/>
          <w:sz w:val="24"/>
          <w:szCs w:val="24"/>
        </w:rPr>
        <w:t xml:space="preserve"> (МОН)</w:t>
      </w:r>
    </w:p>
    <w:p w:rsidR="005F2097" w:rsidRPr="00BD5BB8" w:rsidRDefault="005F2097" w:rsidP="005F2097">
      <w:pPr>
        <w:spacing w:after="0" w:line="240" w:lineRule="auto"/>
        <w:jc w:val="both"/>
        <w:rPr>
          <w:b/>
        </w:rPr>
      </w:pPr>
    </w:p>
    <w:p w:rsidR="005F2097" w:rsidRPr="00BD5BB8" w:rsidRDefault="005F2097" w:rsidP="008E7C9E">
      <w:pPr>
        <w:spacing w:after="0" w:line="240" w:lineRule="auto"/>
        <w:ind w:firstLine="709"/>
        <w:jc w:val="both"/>
        <w:rPr>
          <w:rFonts w:ascii="Times New Roman" w:eastAsia="Times New Roman" w:hAnsi="Times New Roman"/>
          <w:b/>
          <w:sz w:val="24"/>
          <w:szCs w:val="24"/>
          <w:lang w:eastAsia="bg-BG"/>
        </w:rPr>
      </w:pPr>
      <w:r w:rsidRPr="00BD5BB8">
        <w:rPr>
          <w:rFonts w:ascii="Times New Roman" w:eastAsia="Times New Roman" w:hAnsi="Times New Roman"/>
          <w:b/>
          <w:sz w:val="24"/>
          <w:szCs w:val="24"/>
          <w:lang w:eastAsia="bg-BG"/>
        </w:rPr>
        <w:t>Приети стратегически и оперативни документи за политиката за учене през целия живот и функциониране на координационните механизми за изпълнението им:</w:t>
      </w:r>
    </w:p>
    <w:p w:rsidR="005F2097" w:rsidRPr="00BD5BB8" w:rsidRDefault="005F2097" w:rsidP="005F2097">
      <w:pPr>
        <w:spacing w:after="0" w:line="240" w:lineRule="auto"/>
        <w:ind w:firstLine="567"/>
        <w:jc w:val="both"/>
        <w:rPr>
          <w:rFonts w:ascii="Times New Roman" w:eastAsia="Times New Roman" w:hAnsi="Times New Roman"/>
          <w:b/>
          <w:sz w:val="24"/>
          <w:szCs w:val="24"/>
          <w:lang w:eastAsia="bg-BG"/>
        </w:rPr>
      </w:pPr>
    </w:p>
    <w:p w:rsidR="00754C2F" w:rsidRPr="00BD5BB8" w:rsidRDefault="00754C2F" w:rsidP="00754C2F">
      <w:pPr>
        <w:spacing w:after="0" w:line="240" w:lineRule="auto"/>
        <w:ind w:firstLine="720"/>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С Решение № 12 на Министерския съвет от 10.01.2014 г. е приета </w:t>
      </w:r>
      <w:hyperlink r:id="rId16">
        <w:r w:rsidRPr="00BD5BB8">
          <w:rPr>
            <w:rFonts w:ascii="Times New Roman" w:eastAsia="Times New Roman" w:hAnsi="Times New Roman" w:cs="Times New Roman"/>
            <w:sz w:val="24"/>
            <w:szCs w:val="24"/>
            <w:lang w:eastAsia="bg-BG"/>
          </w:rPr>
          <w:t>Националната стратегия за учене през целия живот за периода 2014-2020 година</w:t>
        </w:r>
      </w:hyperlink>
      <w:r w:rsidRPr="00BD5BB8">
        <w:rPr>
          <w:rFonts w:ascii="Times New Roman" w:eastAsia="Times New Roman" w:hAnsi="Times New Roman" w:cs="Times New Roman"/>
          <w:sz w:val="24"/>
          <w:szCs w:val="24"/>
          <w:lang w:eastAsia="bg-BG"/>
        </w:rPr>
        <w:t xml:space="preserve"> (НСУЦЖ). Всички документи, свързани с хронологията и актуалното състояние на общата политика за учене през целия живот, са достъпни на интернет страницата на Министерството на образованието и науката в рубриката „Стратегии и политики“.</w:t>
      </w:r>
    </w:p>
    <w:p w:rsidR="00754C2F" w:rsidRPr="00BD5BB8" w:rsidRDefault="00754C2F" w:rsidP="00754C2F">
      <w:pPr>
        <w:spacing w:after="0" w:line="240" w:lineRule="auto"/>
        <w:jc w:val="both"/>
        <w:rPr>
          <w:rFonts w:ascii="Times New Roman" w:eastAsia="Times New Roman" w:hAnsi="Times New Roman" w:cs="Times New Roman"/>
          <w:sz w:val="24"/>
          <w:szCs w:val="24"/>
          <w:lang w:eastAsia="bg-BG"/>
        </w:rPr>
      </w:pPr>
    </w:p>
    <w:p w:rsidR="00754C2F" w:rsidRPr="00BD5BB8" w:rsidRDefault="00754C2F" w:rsidP="00754C2F">
      <w:pPr>
        <w:spacing w:after="0" w:line="240" w:lineRule="auto"/>
        <w:ind w:firstLine="720"/>
        <w:contextualSpacing/>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Изпълнение на политиката за учене през целия живот през 2017 г.</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p>
    <w:p w:rsidR="00754C2F" w:rsidRPr="00BD5BB8" w:rsidRDefault="00754C2F" w:rsidP="00754C2F">
      <w:pPr>
        <w:spacing w:after="0" w:line="240" w:lineRule="auto"/>
        <w:ind w:firstLine="567"/>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Мярката се финансира със средства от бюджета на МОН и средства от Програма на ЕС в областта на образованието, обучението, младежта и спорта „Еразъм +“.</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 Решение №472 на Министерския съвет от 21.08.2017 г. е приет План за действие за 2017 година в изпълнение на Националната стратегия за учене през целия живот (НСУЦЖ) (План). Създадена е организация за отчитане на дейностите и мерките в приетия План, както и основните параметри на изпълнението му.</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Структурирана е координация между заинтересованите страни на национално и областно равнище на управление чрез Националната платформа „Обединени за ученето на възрастни”, включително с разработената програма с мисия, цели и приоритети на платформата.</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Осъществен е текущ мониторинг и годишно отчитане на изпълнението на НСУЦЖ.</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Осигурени са условия за ефективна координация и консултации между всички заинтересовани страни на национално, областно и местно ниво, чрез Националната координационна група за учене през целия живот (УЦЖ) и областните координационни групи за УЦЖ в 6 пилотни области (Бургас, Видин, Габрово, Пазарджик, Русе и Хасково).</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p>
    <w:p w:rsidR="00754C2F" w:rsidRPr="00BD5BB8" w:rsidRDefault="00754C2F" w:rsidP="00754C2F">
      <w:pPr>
        <w:spacing w:after="0" w:line="240" w:lineRule="auto"/>
        <w:ind w:firstLine="709"/>
        <w:contextualSpacing/>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Изпълнение на Европейската програма за учене на възрастни (ЕПУВ) през 2017 г.</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Средствата по мярката са предвидени в бюджета на МОН и в Програма на ЕС в областта на образованието, обучението, младежта и спорта „Еразъм +“.</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lastRenderedPageBreak/>
        <w:t>Действията, които са предприети по реализирането на мярката, са:</w:t>
      </w:r>
      <w:r w:rsidRPr="00BD5BB8">
        <w:rPr>
          <w:rFonts w:ascii="Times New Roman" w:eastAsia="Times New Roman" w:hAnsi="Times New Roman" w:cs="Times New Roman"/>
          <w:sz w:val="24"/>
          <w:szCs w:val="24"/>
          <w:lang w:eastAsia="bg-BG"/>
        </w:rPr>
        <w:tab/>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Извършена е актуализация на Националната информационна система за учене на възрастни, като е обогатена с нова база данни на областно ниво на управление на сектора за учене на възрастни;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 е Модел за координиране на заинтересованите страни на областно равнище;</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Разработено е Методическо ръководство за формиране на политиката за учене на възрастни на областно равнище, с пакет от 2 броя универсални логически матрици за анализиране и програмиране на областни политики за учене на възрастни, публикувани на интернет-страницата на националния координатор за учене на възрастни;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Проведени са 6 семинара за обучение на членовете на областните координационни групи за учене през целия живот;</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Разработени са 6 анализа за състоянието на сектора за учене на възрастни в 6 пилотни области (Бургас, Видин, Габрово, Пазарджик, Русе и Хасково);</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Организирани и проведени са Национални дни за учене през целия живот в град Русе от 4 до 6 октомври 2017 г., включително: изложение на институции и организации за учене на възрастни; годишни награди за принос в сектора; национален форум „Образование и обучение за възрастни – от предизвикателства към решения“ и други. Участниците в начинанието са  повече от 300; </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 е окончателен доклад за изпълнението на двугодишната програма (1 ноември 2015 г. – 31 октомври 2017 г.) от третия етап на изпълнението на Европейската програма за учене на възрастни в България, изпратен в Изпълнителната агенция за образование, аудиовизия и култура към ЕК.</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Реализирането на мярката отчита напредък в различни направления:</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осигурени са възможности за визуализация на база от данни за подготовка на анализи и програми на областно ниво;</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създаден е инструментариум за моделиране на координационните процеси в сектора за учене на възрастни на областно равнище, включително за придобиване на умения за анализиране и програмиране на дейности и мерки;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създаден е инструментариум за моделиране на координационните процеси в сектора за учене на възрастни на областно равнище, вкл. за придобиване на умения за анализиране и програмиране на дейности и мерки;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изграден е капацитет за планиране, координиране, мониторинг, оценка и програмиране на политиките за учене на възрастни на областно ниво в 6 пилотни области (Бургас, Видин, Габрово, Пазарджик, Русе и Хасково);</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осъществено е популяризиране на ползите от ученето през целия живот за всички възрастови целеви групи в съответствие с индикаторите за въздействие.</w:t>
      </w:r>
    </w:p>
    <w:p w:rsidR="00754C2F" w:rsidRPr="00BD5BB8" w:rsidRDefault="00754C2F" w:rsidP="00754C2F">
      <w:pPr>
        <w:spacing w:after="0" w:line="240" w:lineRule="auto"/>
        <w:ind w:left="993" w:firstLine="709"/>
        <w:contextualSpacing/>
        <w:jc w:val="both"/>
        <w:rPr>
          <w:rFonts w:ascii="Times New Roman" w:eastAsia="Calibri" w:hAnsi="Times New Roman" w:cs="Times New Roman"/>
          <w:sz w:val="24"/>
          <w:szCs w:val="24"/>
          <w:lang w:eastAsia="bg-BG"/>
        </w:rPr>
      </w:pPr>
      <w:r w:rsidRPr="00BD5BB8">
        <w:rPr>
          <w:rFonts w:ascii="Times New Roman" w:eastAsia="Times New Roman" w:hAnsi="Times New Roman" w:cs="Times New Roman"/>
          <w:sz w:val="24"/>
          <w:szCs w:val="24"/>
          <w:lang w:eastAsia="bg-BG"/>
        </w:rPr>
        <w:tab/>
      </w:r>
    </w:p>
    <w:p w:rsidR="00754C2F" w:rsidRPr="00BD5BB8" w:rsidRDefault="00754C2F" w:rsidP="00754C2F">
      <w:pPr>
        <w:autoSpaceDE w:val="0"/>
        <w:autoSpaceDN w:val="0"/>
        <w:adjustRightInd w:val="0"/>
        <w:spacing w:after="0" w:line="240" w:lineRule="auto"/>
        <w:jc w:val="center"/>
        <w:rPr>
          <w:rFonts w:ascii="Times New Roman" w:eastAsia="Times New Roman" w:hAnsi="Times New Roman" w:cs="Times New Roman"/>
          <w:b/>
          <w:sz w:val="24"/>
          <w:szCs w:val="24"/>
          <w:lang w:eastAsia="bg-BG"/>
        </w:rPr>
      </w:pPr>
      <w:bookmarkStart w:id="6" w:name="_Hlk20005607"/>
      <w:r w:rsidRPr="00BD5BB8">
        <w:rPr>
          <w:rFonts w:ascii="Times New Roman" w:eastAsia="Times New Roman" w:hAnsi="Times New Roman" w:cs="Times New Roman"/>
          <w:b/>
          <w:sz w:val="24"/>
          <w:szCs w:val="24"/>
          <w:lang w:eastAsia="bg-BG"/>
        </w:rPr>
        <w:t>Национална подкрепа за създаване и развитие на Електронна платформа за учене на възрастни в Европа (EPALE) през 2017 г.</w:t>
      </w:r>
    </w:p>
    <w:bookmarkEnd w:id="6"/>
    <w:p w:rsidR="00754C2F" w:rsidRPr="00BD5BB8" w:rsidRDefault="00754C2F" w:rsidP="00754C2F">
      <w:pPr>
        <w:spacing w:after="0" w:line="240" w:lineRule="auto"/>
        <w:ind w:firstLine="709"/>
        <w:jc w:val="both"/>
        <w:rPr>
          <w:rFonts w:ascii="Times New Roman" w:eastAsia="Times New Roman" w:hAnsi="Times New Roman" w:cs="Times New Roman"/>
          <w:b/>
          <w:caps/>
          <w:sz w:val="24"/>
          <w:szCs w:val="24"/>
          <w:lang w:eastAsia="bg-BG"/>
        </w:rPr>
      </w:pP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Финансирането на мярката е по Програма на ЕС в областта на образованието, обучението, младежта и спорта „Еразъм +“.</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Реализирането на мярката се подпомага от следните дейности: </w:t>
      </w:r>
      <w:r w:rsidRPr="00BD5BB8">
        <w:rPr>
          <w:rFonts w:ascii="Times New Roman" w:eastAsia="Times New Roman" w:hAnsi="Times New Roman" w:cs="Times New Roman"/>
          <w:sz w:val="24"/>
          <w:szCs w:val="24"/>
          <w:lang w:eastAsia="bg-BG"/>
        </w:rPr>
        <w:tab/>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функционира Национално звено за подкрепа на EPALE;</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изпълнява се Национална комуникационна стратегия за 2017-2018 година, включително междинно отчитане на същата до края на месец януари 2018 година.</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lastRenderedPageBreak/>
        <w:t>проведени са две двудневни регионални конференции на тема „Професионално образование и обучение за възрастни“ за областите от Южна България (29 ноември – 1 декември 2017 г., град Пазарджик) и за областите от Северна България (13 - 15 декември 2017 г., град В. Търново) с над 40 участника във всяко от двете събития;</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създаден е информационен щанд на EPALE, организиран в рамките на Националните дни за учене през целия живот в периода 4 - 6 октомври 2017 г., проведени в град Русе;</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организиран и проведен е еднодневен информационен семинар за EPALE с участието на повече от 25 представители на национални, регионални и местни електронни и печатни медии;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Индикаторите за постигнатите резултати през 2017 година са:</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създадени са условия за национална подкрепа на EPALE от МОН във функциите му на Национално звено за подкрепа.</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приближаване на EPALE до общността за образование и обучение на възрастни в България и мотивирането на тази общност за активно ангажиране с платформата;</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промотиране на EPALE, включително представяне на възможностите за придобиване на професионална квалификация от възрастни обучаеми, дебатиране на предизвикателствата и формулиране на възможни решения за промяна в развитието на процесите в сектора за учене на възрастни;</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промотиране на EPALE в рамките на основното годишно събитие в България, свързано с ученето през целия живот.</w:t>
      </w:r>
    </w:p>
    <w:p w:rsidR="00754C2F" w:rsidRPr="00BD5BB8" w:rsidRDefault="00754C2F" w:rsidP="00754C2F">
      <w:pPr>
        <w:spacing w:after="0" w:line="240" w:lineRule="auto"/>
        <w:ind w:firstLine="709"/>
        <w:contextualSpacing/>
        <w:jc w:val="both"/>
        <w:rPr>
          <w:rFonts w:ascii="Times New Roman" w:eastAsia="Times New Roman" w:hAnsi="Times New Roman" w:cs="Times New Roman"/>
          <w:b/>
          <w:bCs/>
          <w:sz w:val="24"/>
          <w:szCs w:val="24"/>
          <w:lang w:eastAsia="bg-BG"/>
        </w:rPr>
      </w:pPr>
    </w:p>
    <w:p w:rsidR="00754C2F" w:rsidRPr="00BD5BB8" w:rsidRDefault="00754C2F" w:rsidP="00754C2F">
      <w:pPr>
        <w:spacing w:after="0" w:line="240" w:lineRule="auto"/>
        <w:ind w:firstLine="709"/>
        <w:contextualSpacing/>
        <w:jc w:val="center"/>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Изпълнение на политиката за учене през целия живот през 2018 г.</w:t>
      </w:r>
    </w:p>
    <w:p w:rsidR="00754C2F" w:rsidRPr="00BD5BB8" w:rsidRDefault="00754C2F" w:rsidP="00754C2F">
      <w:pPr>
        <w:spacing w:after="0" w:line="240" w:lineRule="auto"/>
        <w:ind w:firstLine="709"/>
        <w:contextualSpacing/>
        <w:jc w:val="both"/>
        <w:rPr>
          <w:rFonts w:ascii="Times New Roman" w:eastAsia="Times New Roman" w:hAnsi="Times New Roman" w:cs="Times New Roman"/>
          <w:sz w:val="24"/>
          <w:szCs w:val="24"/>
          <w:lang w:eastAsia="bg-BG"/>
        </w:rPr>
      </w:pP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Актуализиран е съставът на Националната координационна група за УЦЖ (Заповед №РД 09-439 от 19.03.2018 г.);</w:t>
      </w:r>
    </w:p>
    <w:p w:rsidR="00754C2F" w:rsidRPr="00BD5BB8" w:rsidRDefault="00754C2F" w:rsidP="00E7186B">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Разработени са Основните параметри на изпълнението за Плана за действие за 2017 г. и План за действие за 2018 г. в изпълнение на НСУЦЖ за периода 2014-2020 г. и е приет План за действие за 2018 г. в изпълнение на НСУЦЖ (извлечение от протокол №30 от заседание на МС, проведено на 01.08.2018 г.).</w:t>
      </w:r>
    </w:p>
    <w:p w:rsidR="00754C2F" w:rsidRPr="00BD5BB8" w:rsidRDefault="00754C2F" w:rsidP="00754C2F">
      <w:pPr>
        <w:spacing w:after="0" w:line="240" w:lineRule="auto"/>
        <w:contextualSpacing/>
        <w:jc w:val="both"/>
        <w:rPr>
          <w:rFonts w:ascii="Times New Roman" w:eastAsia="Times New Roman" w:hAnsi="Times New Roman" w:cs="Times New Roman"/>
          <w:sz w:val="24"/>
          <w:szCs w:val="24"/>
          <w:lang w:eastAsia="bg-BG"/>
        </w:rPr>
      </w:pPr>
    </w:p>
    <w:p w:rsidR="00754C2F" w:rsidRPr="00BD5BB8" w:rsidRDefault="00754C2F" w:rsidP="00754C2F">
      <w:pPr>
        <w:spacing w:after="0" w:line="240" w:lineRule="auto"/>
        <w:contextualSpacing/>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Изпълнение на Европейската програма за учене на възрастни (ЕПУВ) през 2018 г.</w:t>
      </w:r>
    </w:p>
    <w:p w:rsidR="00754C2F" w:rsidRPr="00BD5BB8" w:rsidRDefault="00754C2F" w:rsidP="00754C2F">
      <w:pPr>
        <w:spacing w:after="0" w:line="240" w:lineRule="auto"/>
        <w:contextualSpacing/>
        <w:jc w:val="center"/>
        <w:rPr>
          <w:rFonts w:ascii="Times New Roman" w:eastAsia="Times New Roman" w:hAnsi="Times New Roman" w:cs="Times New Roman"/>
          <w:sz w:val="24"/>
          <w:szCs w:val="24"/>
          <w:lang w:eastAsia="bg-BG"/>
        </w:rPr>
      </w:pP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Актуализиран е съставът на Координационния съвет (КС) на Националната платформа „Обединени за ученето на възрастни” (НПОУВ). Проведени две работни срещи на КС (4-5 април 2018 г., гр. Велинград и 6-7 декември 2018 г., гр. Вършец);</w:t>
      </w: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Актуализирана е базата данни в Националната информационна система за учене на възрастни;</w:t>
      </w: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Разработен е Първият вариант на консултативен документ с работно заглавие „Пътища и мерки за повишаване на уменията“ като етапен продукт в резултат от стартирал консултативен процес. В неговия обхват са проведени четири регионални семинара (17-18 май 2018 г., гр. Царево, 5-6 юли 2018 г., гр. Габрово, 5-6 декември 2018 г., гр. Вършец, 13-14 декември 2018 г., гр. Шумен);</w:t>
      </w: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Планирани, организирани и проведени са Националните дни за УЦЖ 2018 г. в гр. Пловдив (3-4 октомври 2018 г.) с повече от 300 участници.</w:t>
      </w:r>
    </w:p>
    <w:p w:rsidR="00754C2F" w:rsidRPr="00BD5BB8" w:rsidRDefault="00754C2F" w:rsidP="00754C2F">
      <w:pPr>
        <w:spacing w:after="0" w:line="240" w:lineRule="auto"/>
        <w:ind w:firstLine="709"/>
        <w:jc w:val="both"/>
        <w:rPr>
          <w:rFonts w:ascii="Times New Roman" w:eastAsia="Times New Roman" w:hAnsi="Times New Roman" w:cs="Times New Roman"/>
          <w:sz w:val="24"/>
          <w:szCs w:val="24"/>
          <w:lang w:eastAsia="bg-BG"/>
        </w:rPr>
      </w:pPr>
    </w:p>
    <w:p w:rsidR="00754C2F" w:rsidRPr="00BD5BB8" w:rsidRDefault="00754C2F" w:rsidP="00754C2F">
      <w:pPr>
        <w:autoSpaceDE w:val="0"/>
        <w:autoSpaceDN w:val="0"/>
        <w:adjustRightInd w:val="0"/>
        <w:spacing w:after="0" w:line="240" w:lineRule="auto"/>
        <w:contextualSpacing/>
        <w:jc w:val="center"/>
        <w:rPr>
          <w:rFonts w:ascii="Times New Roman" w:eastAsia="Times New Roman" w:hAnsi="Times New Roman" w:cs="Times New Roman"/>
          <w:b/>
          <w:sz w:val="24"/>
          <w:szCs w:val="24"/>
          <w:lang w:eastAsia="bg-BG"/>
        </w:rPr>
      </w:pPr>
      <w:r w:rsidRPr="00BD5BB8">
        <w:rPr>
          <w:rFonts w:ascii="Times New Roman" w:eastAsia="Times New Roman" w:hAnsi="Times New Roman" w:cs="Times New Roman"/>
          <w:b/>
          <w:sz w:val="24"/>
          <w:szCs w:val="24"/>
          <w:lang w:eastAsia="bg-BG"/>
        </w:rPr>
        <w:t>Национална подкрепа за създаване и развитие на Електронна платформа за учене на възрастни в Европа (EPALE) през 2018 г.</w:t>
      </w:r>
    </w:p>
    <w:p w:rsidR="00754C2F" w:rsidRPr="00BD5BB8" w:rsidRDefault="00754C2F" w:rsidP="00754C2F">
      <w:pPr>
        <w:autoSpaceDE w:val="0"/>
        <w:autoSpaceDN w:val="0"/>
        <w:adjustRightInd w:val="0"/>
        <w:spacing w:after="0" w:line="240" w:lineRule="auto"/>
        <w:ind w:left="270" w:firstLine="709"/>
        <w:contextualSpacing/>
        <w:rPr>
          <w:rFonts w:ascii="Times New Roman" w:eastAsia="Times New Roman" w:hAnsi="Times New Roman" w:cs="Times New Roman"/>
          <w:b/>
          <w:sz w:val="24"/>
          <w:szCs w:val="24"/>
          <w:lang w:eastAsia="bg-BG"/>
        </w:rPr>
      </w:pP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В изпълнение на Работната програма на Националното звено за подкрепа на EPALE за 2018 г. са проведени четири кръгли маси, вкл. (3 и 4 април 2018 г., гр. Велинград, 28-29 юни 2018 г., гр. Враца, 12-13 юли 2018 г., гр. Благоевград, 18-19 декември 2018 г., гр. София), както и две обучения за придобиване на умения за онлайн писане на EPALE (16-17 май 2018 г. в гр. Царево и 4-5 юли 2018 г. в гр. Габрово);</w:t>
      </w:r>
    </w:p>
    <w:p w:rsidR="00754C2F" w:rsidRPr="00BD5BB8" w:rsidRDefault="00754C2F" w:rsidP="00C22A43">
      <w:pPr>
        <w:numPr>
          <w:ilvl w:val="0"/>
          <w:numId w:val="27"/>
        </w:numPr>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Подготвена работна програма за национална подкрепа на EPALE за периода 2019-2020 г., одобрена от ИАОАК към Европейската комисия.</w:t>
      </w:r>
    </w:p>
    <w:p w:rsidR="00754C2F" w:rsidRPr="00BD5BB8" w:rsidRDefault="00754C2F" w:rsidP="00754C2F">
      <w:pPr>
        <w:spacing w:after="0" w:line="240" w:lineRule="auto"/>
        <w:ind w:firstLine="709"/>
        <w:jc w:val="both"/>
        <w:rPr>
          <w:rFonts w:ascii="Times New Roman" w:eastAsia="Times New Roman" w:hAnsi="Times New Roman" w:cs="Times New Roman"/>
          <w:b/>
          <w:sz w:val="24"/>
          <w:szCs w:val="24"/>
          <w:lang w:eastAsia="bg-BG"/>
        </w:rPr>
      </w:pPr>
    </w:p>
    <w:p w:rsidR="00754C2F" w:rsidRPr="00BD5BB8" w:rsidRDefault="00754C2F" w:rsidP="00754C2F">
      <w:pPr>
        <w:spacing w:after="0" w:line="240" w:lineRule="auto"/>
        <w:ind w:firstLine="709"/>
        <w:jc w:val="both"/>
        <w:rPr>
          <w:rFonts w:ascii="Times New Roman" w:eastAsia="Times New Roman" w:hAnsi="Times New Roman" w:cs="Times New Roman"/>
          <w:b/>
          <w:sz w:val="24"/>
          <w:szCs w:val="24"/>
          <w:lang w:eastAsia="bg-BG"/>
        </w:rPr>
      </w:pPr>
      <w:r w:rsidRPr="00BD5BB8">
        <w:rPr>
          <w:rFonts w:ascii="Times New Roman" w:eastAsia="Calibri" w:hAnsi="Times New Roman" w:cs="Times New Roman"/>
          <w:b/>
          <w:bCs/>
          <w:sz w:val="24"/>
          <w:szCs w:val="24"/>
        </w:rPr>
        <w:t>Проект „Нов шанс за успех“</w:t>
      </w:r>
    </w:p>
    <w:p w:rsidR="00754C2F" w:rsidRPr="00BD5BB8" w:rsidRDefault="00754C2F" w:rsidP="00754C2F">
      <w:pPr>
        <w:spacing w:after="0" w:line="240" w:lineRule="auto"/>
        <w:ind w:firstLine="709"/>
        <w:jc w:val="both"/>
        <w:rPr>
          <w:rFonts w:ascii="Times New Roman" w:eastAsia="Calibri" w:hAnsi="Times New Roman" w:cs="Times New Roman"/>
          <w:bCs/>
          <w:sz w:val="24"/>
          <w:szCs w:val="24"/>
        </w:rPr>
      </w:pPr>
      <w:r w:rsidRPr="00BD5BB8">
        <w:rPr>
          <w:rFonts w:ascii="Times New Roman" w:eastAsia="Calibri" w:hAnsi="Times New Roman" w:cs="Times New Roman"/>
          <w:sz w:val="24"/>
          <w:szCs w:val="24"/>
        </w:rPr>
        <w:t xml:space="preserve">Изпълнението на мярката се финансира от Оперативна програма „Наука и образование за интелигентен растеж“ (ОПНОИР) 2014-2020 г., </w:t>
      </w:r>
      <w:r w:rsidRPr="00BD5BB8">
        <w:rPr>
          <w:rFonts w:ascii="Times New Roman" w:eastAsia="Calibri" w:hAnsi="Times New Roman" w:cs="Times New Roman"/>
          <w:bCs/>
          <w:sz w:val="24"/>
          <w:szCs w:val="24"/>
        </w:rPr>
        <w:t>чрез директно предоставяне на конкретен бенефициент по процедура BG05M20P001-3.004 „Ограмотяване на възрастни- фаза 1“. За 2017 г. стойността на предоставената БФП е в размер на 1 425 396,00, а за 2018 г. е 3 243 449,00 лв.</w:t>
      </w:r>
    </w:p>
    <w:p w:rsidR="00754C2F" w:rsidRPr="00BD5BB8" w:rsidRDefault="00754C2F" w:rsidP="00754C2F">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Чрез тази операция се очаква да се повиши участието в различни форми на учене през целия живот с цел преодоляване на причините за ниската грамотност на уязвимите групи - бедните, при които ниските доходи ограничават възможностите за социална реализация в различните ѝ измерения и намаляват мотивацията за учене и социална активност; билингвите при които недостатъчното владеене на официалния език може да бъде сериозна пречка за успешно овладяване на учебния материал и включване в образователния процес; ромите, при които бедността и недостатъчното владеене на официалния език могат да възпрепятстват придобиването на образование. Ще бъдат подобрени социалните и комуникативните умения на младежи и възрастни. </w:t>
      </w:r>
      <w:r w:rsidRPr="00BD5BB8">
        <w:rPr>
          <w:rFonts w:ascii="Times New Roman" w:eastAsia="Times New Roman" w:hAnsi="Times New Roman" w:cs="Times New Roman"/>
          <w:sz w:val="24"/>
          <w:szCs w:val="24"/>
          <w:lang w:eastAsia="bg-BG"/>
        </w:rPr>
        <w:t>Дейностите в проекта са свързани с организиране и провеждане на курсове за ограмотяване и на курсове за придобиване на компетентности от прогимназиалния етап на основното образование. Овладяването на съвременни ключови компетентности е шанс за слабограмотните лица да излязат от рискова група на пазара на труда. Целите на проекта ще бъдат постигнати и чрез сертифициране на успешно завършеното обучение, чрез популяризиране на необходимостта от повишаване и насърчаване на грамотността и чрез привличане на общественото внимание към ползите от повишаване на грамотността, което ще допринесе и за справяне със социалните предизвикателства, възникнали в резултат на глобални икономически процеси.</w:t>
      </w:r>
    </w:p>
    <w:p w:rsidR="00754C2F" w:rsidRPr="00BD5BB8" w:rsidRDefault="00754C2F" w:rsidP="00754C2F">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През 2017 г. са включени 4</w:t>
      </w:r>
      <w:r w:rsidR="0057239B">
        <w:rPr>
          <w:rFonts w:ascii="Times New Roman" w:eastAsia="Calibri" w:hAnsi="Times New Roman" w:cs="Times New Roman"/>
          <w:sz w:val="24"/>
          <w:szCs w:val="24"/>
        </w:rPr>
        <w:t xml:space="preserve"> </w:t>
      </w:r>
      <w:r w:rsidRPr="00BD5BB8">
        <w:rPr>
          <w:rFonts w:ascii="Times New Roman" w:eastAsia="Calibri" w:hAnsi="Times New Roman" w:cs="Times New Roman"/>
          <w:sz w:val="24"/>
          <w:szCs w:val="24"/>
        </w:rPr>
        <w:t>528 лица над 16 години (включително роми) в курсове по ограмотяване или в курсове за усвояване на учебно съдържание, предвидено за изучаване в класове от прогимназиалния етап на основното образование.</w:t>
      </w:r>
    </w:p>
    <w:p w:rsidR="00754C2F" w:rsidRPr="00BD5BB8" w:rsidRDefault="00754C2F" w:rsidP="00754C2F">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През  2018 г отчетените  стойности са  839 лица.</w:t>
      </w:r>
    </w:p>
    <w:p w:rsidR="00754C2F" w:rsidRPr="00BD5BB8" w:rsidRDefault="00754C2F" w:rsidP="00754C2F">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Делът на получилите (включително роми) удостоверения за успешно завършени курсове по ограмотяване или за усвояване на учебно съдържание, предвидено за изучаване в класове от прогимназиалния етап на основното образование, към момента не може да бъде даден като стойност, тъй като резултатът ще бъде проследен при приключване на проекта.</w:t>
      </w:r>
    </w:p>
    <w:p w:rsidR="00754C2F" w:rsidRPr="00BD5BB8" w:rsidRDefault="00754C2F" w:rsidP="00754C2F">
      <w:pPr>
        <w:spacing w:after="0" w:line="240" w:lineRule="auto"/>
        <w:ind w:firstLine="709"/>
        <w:jc w:val="both"/>
        <w:rPr>
          <w:rFonts w:ascii="Times New Roman" w:eastAsia="Calibri" w:hAnsi="Times New Roman" w:cs="Times New Roman"/>
          <w:b/>
          <w:sz w:val="24"/>
          <w:szCs w:val="24"/>
        </w:rPr>
      </w:pPr>
      <w:r w:rsidRPr="00BD5BB8">
        <w:rPr>
          <w:rFonts w:ascii="Times New Roman" w:eastAsia="Calibri" w:hAnsi="Times New Roman" w:cs="Times New Roman"/>
          <w:b/>
          <w:sz w:val="24"/>
          <w:szCs w:val="24"/>
        </w:rPr>
        <w:t>Проект „Иновативни инструменти за подобряване уменията на преподавателите във висшите училища за повишаване качеството на висшето образование в България“ (№ 582874-EPP-1-2016-2-BG-EPPKA3-BOLOGNA „BG TEACHING INOVATION TOOLS IN HIGER EDUCATION“)</w:t>
      </w:r>
    </w:p>
    <w:p w:rsidR="00754C2F" w:rsidRPr="00BD5BB8" w:rsidRDefault="00754C2F" w:rsidP="00754C2F">
      <w:pPr>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Calibri" w:hAnsi="Times New Roman" w:cs="Times New Roman"/>
          <w:sz w:val="24"/>
          <w:szCs w:val="24"/>
        </w:rPr>
        <w:t xml:space="preserve">Проектът е съфинансиран по програма „Еразъм+“. Бяха проведени семинарни обучения, в които участваха преподаватели от всички възрасти и от всички висши </w:t>
      </w:r>
      <w:r w:rsidRPr="00BD5BB8">
        <w:rPr>
          <w:rFonts w:ascii="Times New Roman" w:eastAsia="Calibri" w:hAnsi="Times New Roman" w:cs="Times New Roman"/>
          <w:sz w:val="24"/>
          <w:szCs w:val="24"/>
        </w:rPr>
        <w:lastRenderedPageBreak/>
        <w:t xml:space="preserve">училища. </w:t>
      </w:r>
      <w:r w:rsidRPr="00BD5BB8">
        <w:rPr>
          <w:rFonts w:ascii="Times New Roman" w:eastAsia="Times New Roman" w:hAnsi="Times New Roman" w:cs="Times New Roman"/>
          <w:sz w:val="24"/>
          <w:szCs w:val="24"/>
          <w:lang w:eastAsia="bg-BG"/>
        </w:rPr>
        <w:t xml:space="preserve">Акцентът беше поставен върху преподавателя като ключова фигура в образователния процес, но и като един от субектите на програми за учене през целия живот и необходимостта от постоянно повишаване на личната квалификация в рамките на професионалната кариера. </w:t>
      </w:r>
    </w:p>
    <w:p w:rsidR="00754C2F" w:rsidRPr="00BD5BB8" w:rsidRDefault="00754C2F" w:rsidP="00754C2F">
      <w:pPr>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Планираните дейности в хода на реализирането на проекта са свързани с основни политики в областта на висшето образование у нас.</w:t>
      </w:r>
    </w:p>
    <w:p w:rsidR="00754C2F" w:rsidRPr="00BD5BB8" w:rsidRDefault="00754C2F" w:rsidP="00754C2F">
      <w:pPr>
        <w:spacing w:after="0" w:line="240" w:lineRule="auto"/>
        <w:ind w:firstLine="709"/>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На база </w:t>
      </w:r>
      <w:r w:rsidRPr="00BD5BB8">
        <w:rPr>
          <w:rFonts w:ascii="Times New Roman" w:eastAsia="Times New Roman" w:hAnsi="Times New Roman" w:cs="Times New Roman"/>
          <w:sz w:val="24"/>
          <w:szCs w:val="24"/>
          <w:lang w:eastAsia="bg-BG"/>
        </w:rPr>
        <w:t xml:space="preserve">резултатите от проекта министърът на образованието и науката обяви, че в рамките на национални програми ще бъдат осъществени целенасочени </w:t>
      </w:r>
      <w:r w:rsidRPr="00BD5BB8">
        <w:rPr>
          <w:rFonts w:ascii="Times New Roman" w:eastAsia="Calibri" w:hAnsi="Times New Roman" w:cs="Times New Roman"/>
          <w:sz w:val="24"/>
          <w:szCs w:val="24"/>
        </w:rPr>
        <w:t>инвестиции в преподавателите от висшите училища. Политиките ще се фокусират върху тяхното развитие и придобиването на необходимите умения, за осигуряване на необходимата подготвеност и конкурентоспособност през време на целия трудов живот на преподавателите.</w:t>
      </w:r>
    </w:p>
    <w:p w:rsidR="00F67DF3" w:rsidRPr="00BD5BB8" w:rsidRDefault="00F67DF3" w:rsidP="005F2097">
      <w:pPr>
        <w:spacing w:after="0" w:line="240" w:lineRule="auto"/>
        <w:jc w:val="center"/>
        <w:rPr>
          <w:rFonts w:ascii="Times New Roman" w:hAnsi="Times New Roman" w:cs="Times New Roman"/>
          <w:b/>
          <w:caps/>
          <w:color w:val="C00000"/>
          <w:sz w:val="24"/>
          <w:szCs w:val="24"/>
        </w:rPr>
      </w:pPr>
    </w:p>
    <w:p w:rsidR="005F2097" w:rsidRPr="00BD5BB8" w:rsidRDefault="005F2097" w:rsidP="005F2097">
      <w:pPr>
        <w:spacing w:after="0" w:line="240" w:lineRule="auto"/>
        <w:jc w:val="center"/>
        <w:rPr>
          <w:rFonts w:ascii="Times New Roman" w:hAnsi="Times New Roman" w:cs="Times New Roman"/>
          <w:b/>
          <w:color w:val="C00000"/>
          <w:sz w:val="24"/>
          <w:szCs w:val="24"/>
        </w:rPr>
      </w:pPr>
      <w:r w:rsidRPr="00BD5BB8">
        <w:rPr>
          <w:rFonts w:ascii="Times New Roman" w:hAnsi="Times New Roman" w:cs="Times New Roman"/>
          <w:b/>
          <w:caps/>
          <w:color w:val="C00000"/>
          <w:sz w:val="24"/>
          <w:szCs w:val="24"/>
        </w:rPr>
        <w:t>Министерство на културата</w:t>
      </w:r>
      <w:r w:rsidRPr="00BD5BB8">
        <w:rPr>
          <w:rFonts w:ascii="Times New Roman" w:hAnsi="Times New Roman" w:cs="Times New Roman"/>
          <w:b/>
          <w:color w:val="C00000"/>
          <w:sz w:val="24"/>
          <w:szCs w:val="24"/>
        </w:rPr>
        <w:t xml:space="preserve"> (МК)</w:t>
      </w:r>
    </w:p>
    <w:p w:rsidR="005F2097" w:rsidRPr="00BD5BB8" w:rsidRDefault="005F2097" w:rsidP="005F2097">
      <w:pPr>
        <w:spacing w:after="0" w:line="240" w:lineRule="auto"/>
        <w:jc w:val="center"/>
        <w:rPr>
          <w:rFonts w:ascii="Times New Roman" w:hAnsi="Times New Roman" w:cs="Times New Roman"/>
          <w:b/>
          <w:sz w:val="24"/>
          <w:szCs w:val="24"/>
        </w:rPr>
      </w:pPr>
    </w:p>
    <w:p w:rsidR="0015080E" w:rsidRPr="00BD5BB8" w:rsidRDefault="0015080E" w:rsidP="0015080E">
      <w:pPr>
        <w:spacing w:after="0" w:line="240" w:lineRule="auto"/>
        <w:ind w:firstLine="708"/>
        <w:jc w:val="both"/>
        <w:rPr>
          <w:rFonts w:ascii="Times New Roman" w:eastAsia="Times New Roman" w:hAnsi="Times New Roman" w:cs="Times New Roman"/>
          <w:bCs/>
          <w:color w:val="000000"/>
          <w:sz w:val="24"/>
          <w:szCs w:val="24"/>
          <w:lang w:eastAsia="bg-BG"/>
        </w:rPr>
      </w:pPr>
      <w:r w:rsidRPr="00BD5BB8">
        <w:rPr>
          <w:rFonts w:ascii="Times New Roman" w:eastAsia="Times New Roman" w:hAnsi="Times New Roman" w:cs="Times New Roman"/>
          <w:bCs/>
          <w:color w:val="000000"/>
          <w:sz w:val="24"/>
          <w:szCs w:val="24"/>
          <w:lang w:eastAsia="bg-BG"/>
        </w:rPr>
        <w:t>В контекста на Националната концепция за активен живот на възрастните хора в България (2012 – 2030 г.), дейностите на Министерството на културата за периода 2017–2018 г. са насочени към създаване на благоприятна среда за участие на възрастните хора в културния живот на страната. Целта е чрез различни механизми и програми да се подобрява достъпа до продукти и услуги в сферата на културата.</w:t>
      </w:r>
    </w:p>
    <w:p w:rsidR="0015080E" w:rsidRPr="00BD5BB8" w:rsidRDefault="0015080E" w:rsidP="0015080E">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Посещението на обекти на културното наследство и участието в различни инициативи, свързани с опазването и представянето му, дава възможност на възрастните хора както да запълнят пълноценно свободното си време, така и да развиват активен живот като пълноправни членове на обществото. В тази връзка усилията на Министерство на културата са насочени към подкрепата на дейности, които осигуряват равен достъп до културното наследство, неговата социализация и представяне пред широка публика. През отчетния период бяха подкрепени над 80 проекта на музеи, художествени галери и други културни организации на обща стойност 515 000 лв.</w:t>
      </w:r>
    </w:p>
    <w:p w:rsidR="0015080E" w:rsidRPr="00BD5BB8" w:rsidRDefault="0015080E" w:rsidP="0015080E">
      <w:pPr>
        <w:spacing w:after="0" w:line="240" w:lineRule="auto"/>
        <w:ind w:firstLine="708"/>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В областта на сценичните изкуства, чрез проектно финансиране се подкрепят проекти на независими организации, насочени към или с участие на възрастни хора. В политиката на държавните културни сценични институти се включват специални мерки в посока за привличане на публики, в това число на зрители в пенсионна възраст. За целта се предлагат билети на преференциални цени за пенсионери, а често и семейни билети, които правят достъпа до сценичните събития възможен за хората в третата възраст. Артисти и творчески състави в пенсионна възраст, остават ангажирани професионално в щата на сценичните институти или на граждански договори по възможност и при необходимост на творческия процес.</w:t>
      </w:r>
    </w:p>
    <w:p w:rsidR="0015080E" w:rsidRPr="00BD5BB8" w:rsidRDefault="0015080E" w:rsidP="0015080E">
      <w:pPr>
        <w:spacing w:after="0" w:line="240" w:lineRule="auto"/>
        <w:ind w:firstLine="720"/>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Министерството на културата продължава да подкрепя обществените библиотеки и читалищата с оглед на устойчивото развитие на тези най-разпространени и достъпни културни институции в страната. </w:t>
      </w:r>
    </w:p>
    <w:p w:rsidR="0015080E" w:rsidRPr="00BD5BB8" w:rsidRDefault="0015080E" w:rsidP="0015080E">
      <w:pPr>
        <w:spacing w:after="0" w:line="240" w:lineRule="auto"/>
        <w:ind w:firstLine="720"/>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Ежедневно се осъществяват дейности по координиране дейността на библиотечната мрежа в страната, чрез оказване на методическа помощ. Подпомагат се и редица инициативи на библиотеките за насърчаване на четенето, за реализиране на културни и творчески прояви, за привличане на повече потребители, сред които и възрастни хора, на библиотечно-информационни услуги.</w:t>
      </w:r>
    </w:p>
    <w:p w:rsidR="0015080E" w:rsidRPr="00BD5BB8" w:rsidRDefault="0015080E" w:rsidP="0015080E">
      <w:pPr>
        <w:spacing w:after="0" w:line="240" w:lineRule="auto"/>
        <w:ind w:firstLine="709"/>
        <w:jc w:val="both"/>
        <w:rPr>
          <w:rFonts w:ascii="Times New Roman" w:eastAsia="Times New Roman" w:hAnsi="Times New Roman" w:cs="Times New Roman"/>
          <w:color w:val="000000"/>
          <w:sz w:val="24"/>
          <w:szCs w:val="24"/>
        </w:rPr>
      </w:pPr>
      <w:r w:rsidRPr="00BD5BB8">
        <w:rPr>
          <w:rFonts w:ascii="Times New Roman" w:eastAsia="Times New Roman" w:hAnsi="Times New Roman" w:cs="Times New Roman"/>
          <w:color w:val="000000"/>
          <w:sz w:val="24"/>
          <w:szCs w:val="24"/>
        </w:rPr>
        <w:t>В изпълнение на ч</w:t>
      </w:r>
      <w:r w:rsidRPr="00BD5BB8">
        <w:rPr>
          <w:rFonts w:ascii="Times New Roman" w:eastAsia="Times New Roman" w:hAnsi="Times New Roman" w:cs="Times New Roman"/>
          <w:bCs/>
          <w:color w:val="000000"/>
          <w:sz w:val="24"/>
          <w:szCs w:val="24"/>
        </w:rPr>
        <w:t>л. 61</w:t>
      </w:r>
      <w:r w:rsidR="0057239B">
        <w:rPr>
          <w:rFonts w:ascii="Times New Roman" w:eastAsia="Times New Roman" w:hAnsi="Times New Roman" w:cs="Times New Roman"/>
          <w:bCs/>
          <w:color w:val="000000"/>
          <w:sz w:val="24"/>
          <w:szCs w:val="24"/>
        </w:rPr>
        <w:t>,</w:t>
      </w:r>
      <w:r w:rsidRPr="00BD5BB8">
        <w:rPr>
          <w:rFonts w:ascii="Times New Roman" w:eastAsia="Times New Roman" w:hAnsi="Times New Roman" w:cs="Times New Roman"/>
          <w:color w:val="000000"/>
          <w:sz w:val="24"/>
          <w:szCs w:val="24"/>
        </w:rPr>
        <w:t xml:space="preserve"> т. 2 от Закона за обществените библиотеки, от бюджета на Министерството на културата през 2017 година бяха предоставени на регионалните </w:t>
      </w:r>
      <w:r w:rsidRPr="00BD5BB8">
        <w:rPr>
          <w:rFonts w:ascii="Times New Roman" w:eastAsia="Times New Roman" w:hAnsi="Times New Roman" w:cs="Times New Roman"/>
          <w:color w:val="000000"/>
          <w:sz w:val="24"/>
          <w:szCs w:val="24"/>
        </w:rPr>
        <w:lastRenderedPageBreak/>
        <w:t>библиотеки допълнителни средства, които се реализираха през 2018 г. Средствата са за изпълнение на отговорности, свързани с координиране дейността на библиотечните ресурси, внедряване на съвременните технологии и координирано изграждане на регионалните библиотечни мрежи, поддържане на краеведски архив, извършване на координационна, експертно-консултантска и квалификационна дейност за библиотеките от региона, участие в програми и проекти, оказване съдействие на Министерството на културата при осъществяване на държавната политика в областта на библиотечно-информационното обслужване.  Средствата са разпределени</w:t>
      </w:r>
      <w:r w:rsidRPr="00BD5BB8">
        <w:rPr>
          <w:rFonts w:ascii="Times New Roman" w:eastAsia="Times New Roman" w:hAnsi="Times New Roman" w:cs="Times New Roman"/>
          <w:b/>
          <w:sz w:val="24"/>
          <w:szCs w:val="24"/>
        </w:rPr>
        <w:t xml:space="preserve"> </w:t>
      </w:r>
      <w:r w:rsidRPr="00BD5BB8">
        <w:rPr>
          <w:rFonts w:ascii="Times New Roman" w:eastAsia="Times New Roman" w:hAnsi="Times New Roman" w:cs="Times New Roman"/>
          <w:sz w:val="24"/>
          <w:szCs w:val="24"/>
        </w:rPr>
        <w:t xml:space="preserve">съгласно степента на тяхната натовареност, отразяваща както нивото на библиотечното обслужване на гражданите, така и изпълнението на допълнителните функции, свързани с подобряване дейността на обществените библиотеки в съответния регион. </w:t>
      </w:r>
    </w:p>
    <w:p w:rsidR="0015080E" w:rsidRPr="00BD5BB8" w:rsidRDefault="0015080E" w:rsidP="0015080E">
      <w:pPr>
        <w:spacing w:after="0" w:line="240" w:lineRule="auto"/>
        <w:ind w:firstLine="708"/>
        <w:jc w:val="both"/>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 xml:space="preserve">През 2018 г., за подобряване на условията на труд в читалищата и за читалищна дейност, е завишен стандартът за държавната субсидия на читалищата с 13% и са предоставени допълнително нови 82 субсидирани бройки от държавния бюджет за 2019 г. Те са разпределени в 204 читалища, в 74 общини, в 28-те административни области на страната. Средствата са за художествено-творческа, организационна, библиотечно-информационна и изследователска дейност в областта на културното наследство. Подкрепено е развитието на читалищните библиотеки, школи по изкуства, школи по чужди езици, надграждане и създаване на нови образователни форми, поддържане и създаване на театрални състави, кръжоци по краезнание, създаване и поддръжка на колекции с културни ценности. Допълнителни средства са разпределени за осигуряване на библиотекари, секретари на читалища, хорови диригенти, корепетитори, хореографи, ръководители на оркестри, музикални педагози, художествени ръководители на различни по вид състави, учители по чужди езици, уредници в читалищни музеи. Целта на държавната подкрепа е подобряването на услугите, постигане на устойчивост на художествените състави, клубовете и школите,  чиито основни потребители са възрастните хора. </w:t>
      </w:r>
    </w:p>
    <w:p w:rsidR="0015080E" w:rsidRPr="00BD5BB8" w:rsidRDefault="0015080E" w:rsidP="0015080E">
      <w:pPr>
        <w:spacing w:after="0" w:line="240" w:lineRule="auto"/>
        <w:ind w:firstLine="708"/>
        <w:jc w:val="both"/>
        <w:rPr>
          <w:rFonts w:ascii="Times New Roman" w:eastAsia="Times New Roman" w:hAnsi="Times New Roman" w:cs="Times New Roman"/>
          <w:color w:val="000000"/>
          <w:sz w:val="24"/>
          <w:szCs w:val="24"/>
          <w:lang w:eastAsia="bg-BG"/>
        </w:rPr>
      </w:pPr>
      <w:r w:rsidRPr="00BD5BB8">
        <w:rPr>
          <w:rFonts w:ascii="Times New Roman" w:eastAsia="Times New Roman" w:hAnsi="Times New Roman" w:cs="Times New Roman"/>
          <w:color w:val="000000"/>
          <w:sz w:val="24"/>
          <w:szCs w:val="24"/>
          <w:lang w:eastAsia="bg-BG"/>
        </w:rPr>
        <w:t>В контекста на Европейската година на културното наследство,  Министерството на културата организира специална церемония за отбелязване на значимостта на нематериалното културно наследство за развитието на обществото. Носители на традиционни знания и умения, включени в Националната система „Живи човешки съкровища – България“, бяха наградени с грамота на Министерството на културата на специална церемония през м. юни 2018 г. за принос в процеса на предаване на специфични знания и умения към по-младото поколение.</w:t>
      </w:r>
    </w:p>
    <w:p w:rsidR="005F2097" w:rsidRPr="00BD5BB8" w:rsidRDefault="005F2097" w:rsidP="005F2097">
      <w:pPr>
        <w:spacing w:after="0" w:line="240" w:lineRule="auto"/>
        <w:ind w:right="23" w:firstLine="708"/>
        <w:jc w:val="both"/>
        <w:rPr>
          <w:rFonts w:ascii="Times New Roman" w:eastAsia="Times New Roman" w:hAnsi="Times New Roman" w:cs="Times New Roman"/>
          <w:sz w:val="24"/>
          <w:szCs w:val="24"/>
        </w:rPr>
      </w:pPr>
    </w:p>
    <w:p w:rsidR="005F2097" w:rsidRPr="00BD5BB8" w:rsidRDefault="005F2097" w:rsidP="005F2097">
      <w:pPr>
        <w:shd w:val="clear" w:color="auto" w:fill="92D050"/>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Оперативна цел № 5</w:t>
      </w:r>
    </w:p>
    <w:p w:rsidR="005F2097" w:rsidRPr="00BD5BB8" w:rsidRDefault="005F2097" w:rsidP="005F2097">
      <w:pPr>
        <w:shd w:val="clear" w:color="auto" w:fill="92D050"/>
        <w:spacing w:after="0" w:line="240" w:lineRule="auto"/>
        <w:jc w:val="center"/>
        <w:rPr>
          <w:rFonts w:ascii="Times New Roman" w:hAnsi="Times New Roman" w:cs="Times New Roman"/>
          <w:b/>
          <w:sz w:val="28"/>
          <w:szCs w:val="28"/>
        </w:rPr>
      </w:pPr>
      <w:r w:rsidRPr="00BD5BB8">
        <w:rPr>
          <w:rFonts w:ascii="Times New Roman" w:hAnsi="Times New Roman" w:cs="Times New Roman"/>
          <w:b/>
          <w:sz w:val="28"/>
          <w:szCs w:val="28"/>
        </w:rPr>
        <w:t>Развитие и модернизиране на дългосрочните грижи и осигуряване на равни възможности за достъп до социални услуги (за възрастни).</w:t>
      </w:r>
    </w:p>
    <w:p w:rsidR="005F2097" w:rsidRPr="00BD5BB8" w:rsidRDefault="005F2097" w:rsidP="005F2097">
      <w:pPr>
        <w:spacing w:after="0" w:line="240" w:lineRule="auto"/>
        <w:contextualSpacing/>
        <w:jc w:val="both"/>
        <w:rPr>
          <w:rFonts w:ascii="Times New Roman" w:eastAsia="Times New Roman" w:hAnsi="Times New Roman" w:cs="Times New Roman"/>
          <w:b/>
          <w:sz w:val="24"/>
          <w:szCs w:val="24"/>
          <w:lang w:eastAsia="bg-BG"/>
        </w:rPr>
      </w:pP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3.5. Мерки за развитие и модернизиране на дългосрочните грижи </w:t>
      </w: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и осигуряване на равни възможности за достъп до социални услуги </w:t>
      </w: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за възрастни хора. Развитие на т.нар. „сребърна икономика“ </w:t>
      </w: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по Оперативна цел 5 </w:t>
      </w:r>
    </w:p>
    <w:p w:rsidR="005F2097" w:rsidRPr="00BD5BB8" w:rsidRDefault="005F2097" w:rsidP="005F2097">
      <w:pPr>
        <w:spacing w:after="0" w:line="240" w:lineRule="auto"/>
        <w:contextualSpacing/>
        <w:jc w:val="both"/>
        <w:rPr>
          <w:rFonts w:ascii="Times New Roman" w:eastAsia="Times New Roman" w:hAnsi="Times New Roman" w:cs="Times New Roman"/>
          <w:b/>
          <w:sz w:val="24"/>
          <w:szCs w:val="24"/>
          <w:lang w:eastAsia="bg-BG"/>
        </w:rPr>
      </w:pPr>
    </w:p>
    <w:p w:rsidR="009A56A1" w:rsidRPr="00BD5BB8" w:rsidRDefault="009A56A1" w:rsidP="009A56A1">
      <w:pPr>
        <w:spacing w:after="0" w:line="240" w:lineRule="auto"/>
        <w:jc w:val="center"/>
        <w:rPr>
          <w:rFonts w:ascii="Times New Roman" w:hAnsi="Times New Roman" w:cs="Times New Roman"/>
          <w:b/>
          <w:color w:val="C00000"/>
          <w:sz w:val="24"/>
          <w:szCs w:val="24"/>
        </w:rPr>
      </w:pPr>
      <w:r w:rsidRPr="00BD5BB8">
        <w:rPr>
          <w:rFonts w:ascii="Times New Roman" w:hAnsi="Times New Roman" w:cs="Times New Roman"/>
          <w:b/>
          <w:color w:val="C00000"/>
          <w:sz w:val="24"/>
          <w:szCs w:val="24"/>
        </w:rPr>
        <w:t>АГЕНЦИЯ ЗА СОЦИАЛНО ПОДПОМАГАНЕ (АСП)</w:t>
      </w:r>
    </w:p>
    <w:p w:rsidR="009A56A1" w:rsidRPr="00BD5BB8" w:rsidRDefault="009A56A1" w:rsidP="00C22A43">
      <w:pPr>
        <w:shd w:val="clear" w:color="auto" w:fill="FFFFFF"/>
        <w:tabs>
          <w:tab w:val="left" w:pos="-142"/>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Cs/>
          <w:sz w:val="24"/>
          <w:szCs w:val="24"/>
        </w:rPr>
        <w:lastRenderedPageBreak/>
        <w:t xml:space="preserve">Визията на </w:t>
      </w:r>
      <w:r w:rsidRPr="00BD5BB8">
        <w:rPr>
          <w:rFonts w:ascii="Times New Roman" w:hAnsi="Times New Roman" w:cs="Times New Roman"/>
          <w:sz w:val="24"/>
          <w:szCs w:val="24"/>
        </w:rPr>
        <w:t>Националната концепция за насърчаване на активния живот на възрастните хора е свързана със създаване на условия и гарантиране на равни възможности за достоен и пълноценен живот.</w:t>
      </w:r>
    </w:p>
    <w:p w:rsidR="009A56A1" w:rsidRPr="00BD5BB8" w:rsidRDefault="009A56A1" w:rsidP="00C22A43">
      <w:pPr>
        <w:shd w:val="clear" w:color="auto" w:fill="FFFFFF"/>
        <w:tabs>
          <w:tab w:val="left" w:pos="-142"/>
        </w:tabs>
        <w:spacing w:after="0" w:line="240" w:lineRule="auto"/>
        <w:ind w:firstLine="709"/>
        <w:jc w:val="both"/>
        <w:rPr>
          <w:rFonts w:ascii="Times New Roman" w:hAnsi="Times New Roman" w:cs="Times New Roman"/>
          <w:bCs/>
          <w:sz w:val="24"/>
          <w:szCs w:val="24"/>
        </w:rPr>
      </w:pPr>
      <w:r w:rsidRPr="00BD5BB8">
        <w:rPr>
          <w:rFonts w:ascii="Times New Roman" w:hAnsi="Times New Roman" w:cs="Times New Roman"/>
          <w:bCs/>
          <w:sz w:val="24"/>
          <w:szCs w:val="24"/>
        </w:rPr>
        <w:t>Дейността на Агенцията за социално подпомагане (АСП) през 2017 г. и 2018 г. се осъществи в съответствие с приоритетите, залегнали в Стратегическия план на АСП и насочени към изпълнение на държавната политика по гарантиране правото на адекватна социална закрила за всички български граждани и за всеки гражданин на друга държава, намиращи се на територията на България.</w:t>
      </w:r>
      <w:r w:rsidRPr="00BD5BB8">
        <w:rPr>
          <w:rFonts w:ascii="Times New Roman" w:hAnsi="Times New Roman" w:cs="Times New Roman"/>
          <w:sz w:val="24"/>
          <w:szCs w:val="24"/>
        </w:rPr>
        <w:t xml:space="preserve"> </w:t>
      </w:r>
      <w:r w:rsidRPr="00BD5BB8">
        <w:rPr>
          <w:rFonts w:ascii="Times New Roman" w:hAnsi="Times New Roman" w:cs="Times New Roman"/>
          <w:bCs/>
          <w:sz w:val="24"/>
          <w:szCs w:val="24"/>
        </w:rPr>
        <w:t>В тази връзка, визията на АСП за отчетния период бе подобряване адекватността и устойчивостта на системите за социална закрила и социално включване.</w:t>
      </w:r>
    </w:p>
    <w:p w:rsidR="009A56A1" w:rsidRPr="00BD5BB8" w:rsidRDefault="009A56A1" w:rsidP="009A56A1">
      <w:pPr>
        <w:spacing w:after="0" w:line="240" w:lineRule="auto"/>
        <w:ind w:firstLine="708"/>
        <w:jc w:val="both"/>
        <w:rPr>
          <w:rFonts w:ascii="Times New Roman" w:eastAsia="Calibri" w:hAnsi="Times New Roman" w:cs="Times New Roman"/>
          <w:b/>
          <w:bCs/>
          <w:sz w:val="24"/>
          <w:szCs w:val="24"/>
        </w:rPr>
      </w:pPr>
      <w:r w:rsidRPr="00BD5BB8">
        <w:rPr>
          <w:rFonts w:ascii="Times New Roman" w:eastAsia="Calibri" w:hAnsi="Times New Roman" w:cs="Times New Roman"/>
          <w:sz w:val="24"/>
          <w:szCs w:val="24"/>
        </w:rPr>
        <w:t>Философията на социалното подпомагане в България е основана на това, че всеки български гражданин има право на социална закрила, когато поради здравни, възрастови, социални и други, независещи от него причини, не може сам или с помощта на близките си да осигури задоволяване на основните си жизнени потребности. Социалното подпомагане се изразява в предоставяне на помощи и оказване на услуги. От това право се ползват и: чужденците с разрешение за постоянно пребиваване в Република България; чужденците, на които е предоставено убежище, статут на бежанец или хуманитарен статут; чужденците, ползващи се от временна закрила и лицата, за които това е предвидено в международен договор, по който Република България е страна.</w:t>
      </w:r>
    </w:p>
    <w:p w:rsidR="00E82FA0" w:rsidRPr="00BD5BB8" w:rsidRDefault="00E82FA0" w:rsidP="009A56A1">
      <w:pPr>
        <w:spacing w:after="0" w:line="240" w:lineRule="auto"/>
        <w:jc w:val="center"/>
        <w:rPr>
          <w:rFonts w:ascii="Times New Roman" w:eastAsia="Calibri" w:hAnsi="Times New Roman" w:cs="Times New Roman"/>
          <w:b/>
          <w:bCs/>
          <w:sz w:val="24"/>
          <w:szCs w:val="24"/>
        </w:rPr>
      </w:pPr>
    </w:p>
    <w:p w:rsidR="009A56A1" w:rsidRPr="00BD5BB8" w:rsidRDefault="009A56A1" w:rsidP="009A56A1">
      <w:pPr>
        <w:spacing w:after="0" w:line="240" w:lineRule="auto"/>
        <w:jc w:val="center"/>
        <w:rPr>
          <w:rFonts w:ascii="Times New Roman" w:eastAsia="Calibri" w:hAnsi="Times New Roman" w:cs="Times New Roman"/>
          <w:b/>
          <w:bCs/>
          <w:sz w:val="24"/>
          <w:szCs w:val="24"/>
        </w:rPr>
      </w:pPr>
      <w:r w:rsidRPr="00BD5BB8">
        <w:rPr>
          <w:rFonts w:ascii="Times New Roman" w:eastAsia="Calibri" w:hAnsi="Times New Roman" w:cs="Times New Roman"/>
          <w:b/>
          <w:bCs/>
          <w:sz w:val="24"/>
          <w:szCs w:val="24"/>
        </w:rPr>
        <w:t>Социални помощи</w:t>
      </w:r>
    </w:p>
    <w:p w:rsidR="009A56A1" w:rsidRPr="00BD5BB8" w:rsidRDefault="009A56A1" w:rsidP="009A56A1">
      <w:pPr>
        <w:spacing w:after="0" w:line="240" w:lineRule="auto"/>
        <w:jc w:val="center"/>
        <w:rPr>
          <w:rFonts w:ascii="Times New Roman" w:eastAsia="Calibri" w:hAnsi="Times New Roman" w:cs="Times New Roman"/>
          <w:b/>
          <w:bCs/>
          <w:sz w:val="24"/>
          <w:szCs w:val="24"/>
        </w:rPr>
      </w:pPr>
    </w:p>
    <w:p w:rsidR="009A56A1" w:rsidRPr="00BD5BB8" w:rsidRDefault="009A56A1" w:rsidP="009A56A1">
      <w:pPr>
        <w:spacing w:after="0" w:line="240" w:lineRule="auto"/>
        <w:ind w:firstLine="708"/>
        <w:jc w:val="both"/>
        <w:rPr>
          <w:rFonts w:ascii="Times New Roman" w:eastAsia="Calibri" w:hAnsi="Times New Roman" w:cs="Times New Roman"/>
          <w:sz w:val="24"/>
          <w:szCs w:val="24"/>
        </w:rPr>
      </w:pPr>
      <w:r w:rsidRPr="00BD5BB8">
        <w:rPr>
          <w:rFonts w:ascii="Times New Roman" w:eastAsia="Calibri" w:hAnsi="Times New Roman" w:cs="Times New Roman"/>
          <w:b/>
          <w:bCs/>
          <w:sz w:val="24"/>
          <w:szCs w:val="24"/>
        </w:rPr>
        <w:t>Социалните помощи</w:t>
      </w:r>
      <w:r w:rsidRPr="00BD5BB8">
        <w:rPr>
          <w:rFonts w:ascii="Times New Roman" w:eastAsia="Calibri" w:hAnsi="Times New Roman" w:cs="Times New Roman"/>
          <w:sz w:val="24"/>
          <w:szCs w:val="24"/>
        </w:rPr>
        <w:t xml:space="preserve"> се отпускат след като са изчерпани всички възможности за самоиздръжка и помощ от задължените по закон да я осигуряват. Правото на социално подпомагане е обвързано с </w:t>
      </w:r>
      <w:r w:rsidRPr="00BD5BB8">
        <w:rPr>
          <w:rFonts w:ascii="Times New Roman" w:eastAsia="Calibri" w:hAnsi="Times New Roman" w:cs="Times New Roman"/>
          <w:b/>
          <w:bCs/>
          <w:sz w:val="24"/>
          <w:szCs w:val="24"/>
        </w:rPr>
        <w:t>преценка на всеки индивидуален случай</w:t>
      </w:r>
      <w:r w:rsidRPr="00BD5BB8">
        <w:rPr>
          <w:rFonts w:ascii="Times New Roman" w:eastAsia="Calibri" w:hAnsi="Times New Roman" w:cs="Times New Roman"/>
          <w:sz w:val="24"/>
          <w:szCs w:val="24"/>
        </w:rPr>
        <w:t xml:space="preserve">. То зависи от доходите, имущественото състояние, семейното положение, здравословното състояние, трудовата заетост, </w:t>
      </w:r>
      <w:r w:rsidRPr="00BD5BB8">
        <w:rPr>
          <w:rFonts w:ascii="Times New Roman" w:eastAsia="Calibri" w:hAnsi="Times New Roman" w:cs="Times New Roman"/>
          <w:b/>
          <w:bCs/>
          <w:sz w:val="24"/>
          <w:szCs w:val="24"/>
        </w:rPr>
        <w:t>възрастта</w:t>
      </w:r>
      <w:r w:rsidRPr="00BD5BB8">
        <w:rPr>
          <w:rFonts w:ascii="Times New Roman" w:eastAsia="Calibri" w:hAnsi="Times New Roman" w:cs="Times New Roman"/>
          <w:sz w:val="24"/>
          <w:szCs w:val="24"/>
        </w:rPr>
        <w:t xml:space="preserve"> и други констатирани обстоятелства. Социалните помощи се отпускат на базата на социален доклад, изготвен въз основа на социална анкета, проведена в дома на лицата и семействата, установяваща наличието на условия за упражняване на правото на подпомагане. </w:t>
      </w:r>
    </w:p>
    <w:p w:rsidR="009A56A1" w:rsidRPr="00BD5BB8" w:rsidRDefault="009A56A1" w:rsidP="009A56A1">
      <w:pPr>
        <w:spacing w:after="0" w:line="240" w:lineRule="auto"/>
        <w:ind w:firstLine="708"/>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Един от основните акценти в провежданата социална политика </w:t>
      </w:r>
      <w:r w:rsidRPr="00BD5BB8">
        <w:rPr>
          <w:rFonts w:ascii="Times New Roman" w:eastAsia="Calibri" w:hAnsi="Times New Roman" w:cs="Times New Roman"/>
          <w:b/>
          <w:bCs/>
          <w:sz w:val="24"/>
          <w:szCs w:val="24"/>
        </w:rPr>
        <w:t>е защита на хората с най-ниски доходи, като специално внимание се отделя на възрастните самотни хора и лицата с увреждания.</w:t>
      </w:r>
    </w:p>
    <w:p w:rsidR="009A56A1" w:rsidRPr="00BD5BB8" w:rsidRDefault="009A56A1" w:rsidP="009A56A1">
      <w:pPr>
        <w:spacing w:after="0" w:line="240" w:lineRule="auto"/>
        <w:ind w:firstLine="708"/>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Защитата на хората с ниски доходи се регламентира със Закона за социално подпомагане, Правилника за неговото прилагане и Наредба №РД07-5/2008 г. на министъра на труда и социалната политика за условията и реда за отпускане на целева помощ за отопление.</w:t>
      </w:r>
    </w:p>
    <w:p w:rsidR="009A56A1" w:rsidRPr="00BD5BB8" w:rsidRDefault="009A56A1" w:rsidP="009A56A1">
      <w:pPr>
        <w:spacing w:after="0" w:line="240" w:lineRule="auto"/>
        <w:ind w:firstLine="708"/>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Считано от 01.01.2017 г. е извършена </w:t>
      </w:r>
      <w:r w:rsidRPr="00BD5BB8">
        <w:rPr>
          <w:rFonts w:ascii="Times New Roman" w:eastAsia="Calibri" w:hAnsi="Times New Roman" w:cs="Times New Roman"/>
          <w:b/>
          <w:bCs/>
          <w:i/>
          <w:iCs/>
          <w:sz w:val="24"/>
          <w:szCs w:val="24"/>
        </w:rPr>
        <w:t xml:space="preserve">промяна </w:t>
      </w:r>
      <w:r w:rsidRPr="00BD5BB8">
        <w:rPr>
          <w:rFonts w:ascii="Times New Roman" w:eastAsia="Calibri" w:hAnsi="Times New Roman" w:cs="Times New Roman"/>
          <w:bCs/>
          <w:iCs/>
          <w:sz w:val="24"/>
          <w:szCs w:val="24"/>
        </w:rPr>
        <w:t>в нормативната уредба</w:t>
      </w:r>
      <w:r w:rsidRPr="00BD5BB8">
        <w:rPr>
          <w:rFonts w:ascii="Times New Roman" w:eastAsia="Calibri" w:hAnsi="Times New Roman" w:cs="Times New Roman"/>
          <w:sz w:val="24"/>
          <w:szCs w:val="24"/>
        </w:rPr>
        <w:t>, като социалните помощи се отпускат на лица и семейства по настоящ адрес.</w:t>
      </w:r>
    </w:p>
    <w:p w:rsidR="009A56A1" w:rsidRPr="00BD5BB8" w:rsidRDefault="009A56A1" w:rsidP="009A56A1">
      <w:pPr>
        <w:spacing w:after="0" w:line="240" w:lineRule="auto"/>
        <w:ind w:firstLine="708"/>
        <w:jc w:val="both"/>
        <w:rPr>
          <w:rFonts w:ascii="Times New Roman" w:eastAsia="Calibri" w:hAnsi="Times New Roman" w:cs="Times New Roman"/>
          <w:b/>
          <w:bCs/>
          <w:sz w:val="24"/>
          <w:szCs w:val="24"/>
        </w:rPr>
      </w:pPr>
      <w:r w:rsidRPr="00BD5BB8">
        <w:rPr>
          <w:rFonts w:ascii="Times New Roman" w:eastAsia="Calibri" w:hAnsi="Times New Roman" w:cs="Times New Roman"/>
          <w:sz w:val="24"/>
          <w:szCs w:val="24"/>
        </w:rPr>
        <w:t xml:space="preserve">По реда на </w:t>
      </w:r>
      <w:r w:rsidRPr="00BD5BB8">
        <w:rPr>
          <w:rFonts w:ascii="Times New Roman" w:eastAsia="Calibri" w:hAnsi="Times New Roman" w:cs="Times New Roman"/>
          <w:b/>
          <w:bCs/>
          <w:sz w:val="24"/>
          <w:szCs w:val="24"/>
        </w:rPr>
        <w:t>Закона за социално подпомагане</w:t>
      </w:r>
      <w:r w:rsidRPr="00BD5BB8">
        <w:rPr>
          <w:rFonts w:ascii="Times New Roman" w:eastAsia="Calibri" w:hAnsi="Times New Roman" w:cs="Times New Roman"/>
          <w:sz w:val="24"/>
          <w:szCs w:val="24"/>
        </w:rPr>
        <w:t xml:space="preserve"> (ЗСП) се предоставят </w:t>
      </w:r>
      <w:r w:rsidRPr="00BD5BB8">
        <w:rPr>
          <w:rFonts w:ascii="Times New Roman" w:eastAsia="Calibri" w:hAnsi="Times New Roman" w:cs="Times New Roman"/>
          <w:b/>
          <w:bCs/>
          <w:sz w:val="24"/>
          <w:szCs w:val="24"/>
        </w:rPr>
        <w:t>месечни, целеви и еднократни помощи.</w:t>
      </w:r>
    </w:p>
    <w:p w:rsidR="009A56A1" w:rsidRPr="00BD5BB8" w:rsidRDefault="009A56A1" w:rsidP="00E7186B">
      <w:pPr>
        <w:numPr>
          <w:ilvl w:val="0"/>
          <w:numId w:val="3"/>
        </w:numPr>
        <w:tabs>
          <w:tab w:val="left" w:pos="1134"/>
        </w:tabs>
        <w:spacing w:after="0" w:line="240" w:lineRule="auto"/>
        <w:ind w:left="0" w:firstLine="426"/>
        <w:jc w:val="both"/>
        <w:rPr>
          <w:rFonts w:ascii="Times New Roman" w:eastAsia="Calibri" w:hAnsi="Times New Roman" w:cs="Times New Roman"/>
          <w:sz w:val="24"/>
          <w:szCs w:val="24"/>
        </w:rPr>
      </w:pPr>
      <w:r w:rsidRPr="00BD5BB8">
        <w:rPr>
          <w:rFonts w:ascii="Times New Roman" w:eastAsia="Calibri" w:hAnsi="Times New Roman" w:cs="Times New Roman"/>
          <w:sz w:val="24"/>
          <w:szCs w:val="24"/>
        </w:rPr>
        <w:t xml:space="preserve">С </w:t>
      </w:r>
      <w:r w:rsidRPr="00BD5BB8">
        <w:rPr>
          <w:rFonts w:ascii="Times New Roman" w:eastAsia="Calibri" w:hAnsi="Times New Roman" w:cs="Times New Roman"/>
          <w:b/>
          <w:bCs/>
          <w:sz w:val="24"/>
          <w:szCs w:val="24"/>
        </w:rPr>
        <w:t>месечни помощи</w:t>
      </w:r>
      <w:r w:rsidRPr="00BD5BB8">
        <w:rPr>
          <w:rFonts w:ascii="Times New Roman" w:eastAsia="Calibri" w:hAnsi="Times New Roman" w:cs="Times New Roman"/>
          <w:sz w:val="24"/>
          <w:szCs w:val="24"/>
        </w:rPr>
        <w:t xml:space="preserve"> се подпомагат лица и семейства, чиито доходи са под определен диференциран минимален доход. Те допълват собствените доходи на лицата и семействата до определен диференциран минимален доход и се отпускат след проверка на техния доходен и имуществен статус, възраст, семейно положение и здравословно състояние, учебна и трудова заетост. Основа за определяне правото на месечно социално подпомагане и размера на помощите е гарантираният минимален </w:t>
      </w:r>
      <w:r w:rsidRPr="00BD5BB8">
        <w:rPr>
          <w:rFonts w:ascii="Times New Roman" w:eastAsia="Calibri" w:hAnsi="Times New Roman" w:cs="Times New Roman"/>
          <w:sz w:val="24"/>
          <w:szCs w:val="24"/>
        </w:rPr>
        <w:lastRenderedPageBreak/>
        <w:t xml:space="preserve">доход, чиито размер през 2017 г. е 65 лв., а считано от 01.01.2018 г. с Постановление на Министерския съвет (ПМС) №305 от 19.12.2017 г., обнародвано в Държавен вестник, Брой 102 от 22.12.2017 г., неговият размер е увеличен размера от 65 лв. на 75 лв. В Правилника за прилагане на Закона за социално подпомагане (ППЗСП) са определени 11 рискови групи и съответния индивидуален процент (от 20% до 165%), с който се коригира гарантирания минимален доход за всяко лице. При определянето на тези индивидуални проценти за всяка целева група са отчетени факторите </w:t>
      </w:r>
      <w:r w:rsidRPr="00BD5BB8">
        <w:rPr>
          <w:rFonts w:ascii="Times New Roman" w:eastAsia="Calibri" w:hAnsi="Times New Roman" w:cs="Times New Roman"/>
          <w:b/>
          <w:bCs/>
          <w:sz w:val="24"/>
          <w:szCs w:val="24"/>
        </w:rPr>
        <w:t>възраст</w:t>
      </w:r>
      <w:r w:rsidRPr="00BD5BB8">
        <w:rPr>
          <w:rFonts w:ascii="Times New Roman" w:eastAsia="Calibri" w:hAnsi="Times New Roman" w:cs="Times New Roman"/>
          <w:sz w:val="24"/>
          <w:szCs w:val="24"/>
        </w:rPr>
        <w:t xml:space="preserve">, здравословно състояние, семейно положение, трудова и учебна заетост, както и наличието на съжителство с други лица или семейства. </w:t>
      </w:r>
      <w:r w:rsidRPr="00BD5BB8">
        <w:rPr>
          <w:rFonts w:ascii="Times New Roman" w:eastAsia="Calibri" w:hAnsi="Times New Roman" w:cs="Times New Roman"/>
          <w:b/>
          <w:bCs/>
          <w:sz w:val="24"/>
          <w:szCs w:val="24"/>
        </w:rPr>
        <w:t>Те са най-високи за възрастните, самотно живеещи хора и лицата с трайни увреждания,</w:t>
      </w:r>
      <w:r w:rsidRPr="00BD5BB8">
        <w:rPr>
          <w:rFonts w:ascii="Times New Roman" w:eastAsia="Calibri" w:hAnsi="Times New Roman" w:cs="Times New Roman"/>
          <w:sz w:val="24"/>
          <w:szCs w:val="24"/>
        </w:rPr>
        <w:t xml:space="preserve"> като и в така дефинираните групи има степенуване в зависимост от възрастта (лица над 65 и над 75-годишна възраст) и определената степен на трайно увреждане (над 50%, над 70% и над 90%). С месечни помощи през 2018 г. в страната са подпомогнати </w:t>
      </w:r>
      <w:r w:rsidRPr="00BD5BB8">
        <w:rPr>
          <w:rFonts w:ascii="Times New Roman" w:eastAsia="Calibri" w:hAnsi="Times New Roman" w:cs="Times New Roman"/>
          <w:i/>
          <w:iCs/>
          <w:sz w:val="24"/>
          <w:szCs w:val="24"/>
        </w:rPr>
        <w:t xml:space="preserve">средномесечно </w:t>
      </w:r>
      <w:r w:rsidRPr="00BD5BB8">
        <w:rPr>
          <w:rFonts w:ascii="Times New Roman" w:eastAsia="Calibri" w:hAnsi="Times New Roman" w:cs="Times New Roman"/>
          <w:b/>
          <w:bCs/>
          <w:sz w:val="24"/>
          <w:szCs w:val="24"/>
        </w:rPr>
        <w:t xml:space="preserve">27 408 </w:t>
      </w:r>
      <w:r w:rsidRPr="00BD5BB8">
        <w:rPr>
          <w:rFonts w:ascii="Times New Roman" w:eastAsia="Calibri" w:hAnsi="Times New Roman" w:cs="Times New Roman"/>
          <w:sz w:val="24"/>
          <w:szCs w:val="24"/>
        </w:rPr>
        <w:t xml:space="preserve">случая на лица и семейства.  За 2017 г. </w:t>
      </w:r>
      <w:r w:rsidRPr="00BD5BB8">
        <w:rPr>
          <w:rFonts w:ascii="Times New Roman" w:eastAsia="Calibri" w:hAnsi="Times New Roman" w:cs="Times New Roman"/>
          <w:i/>
          <w:iCs/>
          <w:sz w:val="24"/>
          <w:szCs w:val="24"/>
        </w:rPr>
        <w:t xml:space="preserve">средномесечно </w:t>
      </w:r>
      <w:r w:rsidRPr="00BD5BB8">
        <w:rPr>
          <w:rFonts w:ascii="Times New Roman" w:eastAsia="Calibri" w:hAnsi="Times New Roman" w:cs="Times New Roman"/>
          <w:sz w:val="24"/>
          <w:szCs w:val="24"/>
        </w:rPr>
        <w:t xml:space="preserve">са били обхванати </w:t>
      </w:r>
      <w:r w:rsidRPr="00BD5BB8">
        <w:rPr>
          <w:rFonts w:ascii="Times New Roman" w:eastAsia="Calibri" w:hAnsi="Times New Roman" w:cs="Times New Roman"/>
          <w:b/>
          <w:sz w:val="24"/>
          <w:szCs w:val="24"/>
        </w:rPr>
        <w:t>33 422</w:t>
      </w:r>
      <w:r w:rsidRPr="00BD5BB8">
        <w:rPr>
          <w:rFonts w:ascii="Times New Roman" w:eastAsia="Calibri" w:hAnsi="Times New Roman" w:cs="Times New Roman"/>
          <w:sz w:val="24"/>
          <w:szCs w:val="24"/>
        </w:rPr>
        <w:t xml:space="preserve"> случая. Данните показват намаление на </w:t>
      </w:r>
      <w:r w:rsidRPr="00BD5BB8">
        <w:rPr>
          <w:rFonts w:ascii="Times New Roman" w:eastAsia="Calibri" w:hAnsi="Times New Roman" w:cs="Times New Roman"/>
          <w:i/>
          <w:iCs/>
          <w:sz w:val="24"/>
          <w:szCs w:val="24"/>
        </w:rPr>
        <w:t xml:space="preserve">средномесечния </w:t>
      </w:r>
      <w:r w:rsidRPr="00BD5BB8">
        <w:rPr>
          <w:rFonts w:ascii="Times New Roman" w:eastAsia="Calibri" w:hAnsi="Times New Roman" w:cs="Times New Roman"/>
          <w:sz w:val="24"/>
          <w:szCs w:val="24"/>
        </w:rPr>
        <w:t xml:space="preserve">брой подпомогнати лица и семейства спрямо същия период на 2017 г. с 6 014 бр. (23%). Една от причините за намаляването на броя на случаите е и добрата </w:t>
      </w:r>
      <w:r w:rsidRPr="00BD5BB8">
        <w:rPr>
          <w:rFonts w:ascii="Times New Roman" w:eastAsia="Calibri" w:hAnsi="Times New Roman" w:cs="Times New Roman"/>
          <w:bCs/>
          <w:sz w:val="24"/>
          <w:szCs w:val="24"/>
        </w:rPr>
        <w:t>координация</w:t>
      </w:r>
      <w:r w:rsidRPr="00BD5BB8">
        <w:rPr>
          <w:rFonts w:ascii="Times New Roman" w:eastAsia="Calibri" w:hAnsi="Times New Roman" w:cs="Times New Roman"/>
          <w:b/>
          <w:bCs/>
          <w:sz w:val="24"/>
          <w:szCs w:val="24"/>
        </w:rPr>
        <w:t xml:space="preserve"> </w:t>
      </w:r>
      <w:r w:rsidRPr="00BD5BB8">
        <w:rPr>
          <w:rFonts w:ascii="Times New Roman" w:eastAsia="Calibri" w:hAnsi="Times New Roman" w:cs="Times New Roman"/>
          <w:bCs/>
          <w:sz w:val="24"/>
          <w:szCs w:val="24"/>
        </w:rPr>
        <w:t>между системата за социално подпомагане и системата за активни програми на пазара на труда.</w:t>
      </w:r>
      <w:r w:rsidRPr="00BD5BB8">
        <w:rPr>
          <w:rFonts w:ascii="Times New Roman" w:eastAsia="Calibri" w:hAnsi="Times New Roman" w:cs="Times New Roman"/>
          <w:sz w:val="24"/>
          <w:szCs w:val="24"/>
        </w:rPr>
        <w:t xml:space="preserve"> Отчита се, обаче, увеличение в средномесечния размер на месечната помощ от 83 лв. на 98 лв., като една от причините е увеличеният размер на ГМД от 65 лв. на 75 лв., считано от 01.01.2018 година.</w:t>
      </w:r>
    </w:p>
    <w:p w:rsidR="009A56A1" w:rsidRPr="00BD5BB8" w:rsidRDefault="009A56A1" w:rsidP="009A56A1">
      <w:pPr>
        <w:tabs>
          <w:tab w:val="left" w:pos="1134"/>
        </w:tabs>
        <w:spacing w:after="0" w:line="240" w:lineRule="auto"/>
        <w:ind w:left="709"/>
        <w:jc w:val="both"/>
        <w:rPr>
          <w:rFonts w:ascii="Times New Roman" w:eastAsia="Calibri" w:hAnsi="Times New Roman" w:cs="Times New Roman"/>
          <w:sz w:val="24"/>
          <w:szCs w:val="24"/>
        </w:rPr>
      </w:pPr>
    </w:p>
    <w:p w:rsidR="009A56A1" w:rsidRPr="00BD5BB8" w:rsidRDefault="009A56A1" w:rsidP="009A56A1">
      <w:pPr>
        <w:tabs>
          <w:tab w:val="left" w:pos="1134"/>
        </w:tabs>
        <w:spacing w:after="0" w:line="240" w:lineRule="auto"/>
        <w:jc w:val="center"/>
        <w:rPr>
          <w:rFonts w:ascii="Times New Roman" w:eastAsia="Calibri" w:hAnsi="Times New Roman" w:cs="Times New Roman"/>
          <w:sz w:val="24"/>
          <w:szCs w:val="24"/>
        </w:rPr>
      </w:pPr>
      <w:r w:rsidRPr="00BD5BB8">
        <w:rPr>
          <w:rFonts w:ascii="Times New Roman" w:eastAsia="Calibri" w:hAnsi="Times New Roman" w:cs="Times New Roman"/>
          <w:noProof/>
          <w:sz w:val="24"/>
          <w:szCs w:val="24"/>
          <w:lang w:eastAsia="bg-BG"/>
        </w:rPr>
        <w:drawing>
          <wp:inline distT="0" distB="0" distL="0" distR="0" wp14:anchorId="0B04B860" wp14:editId="4F21F219">
            <wp:extent cx="4953000" cy="1981200"/>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A56A1" w:rsidRPr="00BD5BB8" w:rsidRDefault="009A56A1" w:rsidP="009A56A1">
      <w:pPr>
        <w:tabs>
          <w:tab w:val="left" w:pos="1134"/>
        </w:tabs>
        <w:spacing w:after="0" w:line="240" w:lineRule="auto"/>
        <w:jc w:val="center"/>
        <w:rPr>
          <w:rFonts w:ascii="Times New Roman" w:eastAsia="Calibri" w:hAnsi="Times New Roman" w:cs="Times New Roman"/>
          <w:sz w:val="24"/>
          <w:szCs w:val="24"/>
        </w:rPr>
      </w:pPr>
    </w:p>
    <w:p w:rsidR="009A56A1" w:rsidRPr="00BD5BB8" w:rsidRDefault="009A56A1" w:rsidP="00E7186B">
      <w:pPr>
        <w:numPr>
          <w:ilvl w:val="0"/>
          <w:numId w:val="3"/>
        </w:numPr>
        <w:tabs>
          <w:tab w:val="left" w:pos="1134"/>
        </w:tabs>
        <w:spacing w:after="0" w:line="240" w:lineRule="auto"/>
        <w:ind w:left="0" w:firstLine="426"/>
        <w:jc w:val="both"/>
        <w:rPr>
          <w:rFonts w:ascii="Times New Roman" w:eastAsia="Calibri" w:hAnsi="Times New Roman" w:cs="Times New Roman"/>
          <w:sz w:val="24"/>
          <w:szCs w:val="24"/>
        </w:rPr>
      </w:pPr>
      <w:r w:rsidRPr="00BD5BB8">
        <w:rPr>
          <w:rFonts w:ascii="Times New Roman" w:eastAsia="Calibri" w:hAnsi="Times New Roman" w:cs="Times New Roman"/>
          <w:b/>
          <w:bCs/>
          <w:sz w:val="24"/>
          <w:szCs w:val="24"/>
        </w:rPr>
        <w:t>Целевите помощи</w:t>
      </w:r>
      <w:r w:rsidRPr="00BD5BB8">
        <w:rPr>
          <w:rFonts w:ascii="Times New Roman" w:eastAsia="Calibri" w:hAnsi="Times New Roman" w:cs="Times New Roman"/>
          <w:sz w:val="24"/>
          <w:szCs w:val="24"/>
        </w:rPr>
        <w:t xml:space="preserve"> са предназначени за подпомагане на лицата и семействата при покриване на специфични потребности:</w:t>
      </w:r>
    </w:p>
    <w:p w:rsidR="009A56A1" w:rsidRPr="00BD5BB8" w:rsidRDefault="009A56A1" w:rsidP="00E7186B">
      <w:pPr>
        <w:numPr>
          <w:ilvl w:val="0"/>
          <w:numId w:val="33"/>
        </w:numPr>
        <w:tabs>
          <w:tab w:val="left" w:pos="1134"/>
        </w:tabs>
        <w:spacing w:after="0" w:line="240" w:lineRule="auto"/>
        <w:ind w:left="0" w:firstLine="1069"/>
        <w:contextualSpacing/>
        <w:jc w:val="both"/>
        <w:rPr>
          <w:rFonts w:ascii="Times New Roman" w:eastAsia="Calibri" w:hAnsi="Times New Roman" w:cs="Times New Roman"/>
          <w:sz w:val="24"/>
          <w:szCs w:val="24"/>
          <w:lang w:eastAsia="bg-BG"/>
        </w:rPr>
      </w:pPr>
      <w:r w:rsidRPr="00BD5BB8">
        <w:rPr>
          <w:rFonts w:ascii="Times New Roman" w:eastAsia="Calibri" w:hAnsi="Times New Roman" w:cs="Times New Roman"/>
          <w:b/>
          <w:sz w:val="24"/>
          <w:szCs w:val="24"/>
          <w:lang w:eastAsia="bg-BG"/>
        </w:rPr>
        <w:t>Целева помощ за заплащане на наем на общинско жилище</w:t>
      </w:r>
      <w:r w:rsidRPr="00BD5BB8">
        <w:rPr>
          <w:rFonts w:ascii="Times New Roman" w:eastAsia="Calibri" w:hAnsi="Times New Roman" w:cs="Times New Roman"/>
          <w:sz w:val="24"/>
          <w:szCs w:val="24"/>
          <w:lang w:eastAsia="bg-BG"/>
        </w:rPr>
        <w:t xml:space="preserve"> ( в т.ч. и </w:t>
      </w:r>
      <w:r w:rsidRPr="00BD5BB8">
        <w:rPr>
          <w:rFonts w:ascii="Times New Roman" w:eastAsia="Calibri" w:hAnsi="Times New Roman" w:cs="Times New Roman"/>
          <w:b/>
          <w:bCs/>
          <w:sz w:val="24"/>
          <w:szCs w:val="24"/>
          <w:lang w:eastAsia="bg-BG"/>
        </w:rPr>
        <w:t>за самотно живеещи възрастни хора</w:t>
      </w:r>
      <w:r w:rsidRPr="00BD5BB8">
        <w:rPr>
          <w:rFonts w:ascii="Times New Roman" w:eastAsia="Calibri" w:hAnsi="Times New Roman" w:cs="Times New Roman"/>
          <w:sz w:val="24"/>
          <w:szCs w:val="24"/>
          <w:lang w:eastAsia="bg-BG"/>
        </w:rPr>
        <w:t>) п</w:t>
      </w:r>
      <w:r w:rsidRPr="00BD5BB8">
        <w:rPr>
          <w:rFonts w:ascii="Times New Roman" w:eastAsia="Dotum" w:hAnsi="Times New Roman" w:cs="Times New Roman"/>
          <w:sz w:val="24"/>
          <w:szCs w:val="24"/>
          <w:lang w:eastAsia="bg-BG"/>
        </w:rPr>
        <w:t xml:space="preserve">рез </w:t>
      </w:r>
      <w:r w:rsidRPr="00BD5BB8">
        <w:rPr>
          <w:rFonts w:ascii="Times New Roman" w:eastAsia="Dotum" w:hAnsi="Times New Roman" w:cs="Times New Roman"/>
          <w:bCs/>
          <w:sz w:val="24"/>
          <w:szCs w:val="24"/>
          <w:lang w:eastAsia="bg-BG"/>
        </w:rPr>
        <w:t>2018 г.</w:t>
      </w:r>
      <w:r w:rsidRPr="00BD5BB8">
        <w:rPr>
          <w:rFonts w:ascii="Times New Roman" w:eastAsia="Dotum" w:hAnsi="Times New Roman" w:cs="Times New Roman"/>
          <w:sz w:val="24"/>
          <w:szCs w:val="24"/>
          <w:lang w:eastAsia="bg-BG"/>
        </w:rPr>
        <w:t xml:space="preserve"> е предоставена на </w:t>
      </w:r>
      <w:r w:rsidRPr="00BD5BB8">
        <w:rPr>
          <w:rFonts w:ascii="Times New Roman" w:eastAsia="Dotum" w:hAnsi="Times New Roman" w:cs="Times New Roman"/>
          <w:bCs/>
          <w:sz w:val="24"/>
          <w:szCs w:val="24"/>
          <w:lang w:eastAsia="bg-BG"/>
        </w:rPr>
        <w:t xml:space="preserve">147 </w:t>
      </w:r>
      <w:r w:rsidRPr="00BD5BB8">
        <w:rPr>
          <w:rFonts w:ascii="Times New Roman" w:eastAsia="Dotum" w:hAnsi="Times New Roman" w:cs="Times New Roman"/>
          <w:sz w:val="24"/>
          <w:szCs w:val="24"/>
          <w:lang w:eastAsia="bg-BG"/>
        </w:rPr>
        <w:t xml:space="preserve">средномесечен брой лица, а през </w:t>
      </w:r>
      <w:r w:rsidRPr="00BD5BB8">
        <w:rPr>
          <w:rFonts w:ascii="Times New Roman" w:eastAsia="Dotum" w:hAnsi="Times New Roman" w:cs="Times New Roman"/>
          <w:bCs/>
          <w:sz w:val="24"/>
          <w:szCs w:val="24"/>
          <w:lang w:eastAsia="bg-BG"/>
        </w:rPr>
        <w:t>2017 г</w:t>
      </w:r>
      <w:r w:rsidRPr="00BD5BB8">
        <w:rPr>
          <w:rFonts w:ascii="Times New Roman" w:eastAsia="Dotum" w:hAnsi="Times New Roman" w:cs="Times New Roman"/>
          <w:sz w:val="24"/>
          <w:szCs w:val="24"/>
          <w:lang w:eastAsia="bg-BG"/>
        </w:rPr>
        <w:t xml:space="preserve">., средномесечно са подпомогнати </w:t>
      </w:r>
      <w:r w:rsidRPr="00BD5BB8">
        <w:rPr>
          <w:rFonts w:ascii="Times New Roman" w:eastAsia="Dotum" w:hAnsi="Times New Roman" w:cs="Times New Roman"/>
          <w:bCs/>
          <w:sz w:val="24"/>
          <w:szCs w:val="24"/>
          <w:lang w:eastAsia="bg-BG"/>
        </w:rPr>
        <w:t>164 лица.</w:t>
      </w:r>
      <w:r w:rsidRPr="00BD5BB8">
        <w:rPr>
          <w:rFonts w:ascii="Times New Roman" w:eastAsia="Calibri" w:hAnsi="Times New Roman" w:cs="Times New Roman"/>
          <w:sz w:val="24"/>
          <w:szCs w:val="24"/>
          <w:lang w:eastAsia="bg-BG"/>
        </w:rPr>
        <w:t xml:space="preserve"> </w:t>
      </w:r>
    </w:p>
    <w:p w:rsidR="009A56A1" w:rsidRPr="00BD5BB8" w:rsidRDefault="009A56A1" w:rsidP="00E7186B">
      <w:pPr>
        <w:numPr>
          <w:ilvl w:val="0"/>
          <w:numId w:val="33"/>
        </w:numPr>
        <w:tabs>
          <w:tab w:val="left" w:pos="1134"/>
        </w:tabs>
        <w:spacing w:after="0" w:line="240" w:lineRule="auto"/>
        <w:ind w:left="0" w:firstLine="1069"/>
        <w:contextualSpacing/>
        <w:jc w:val="both"/>
        <w:rPr>
          <w:rFonts w:ascii="Times New Roman" w:eastAsia="Calibri" w:hAnsi="Times New Roman" w:cs="Times New Roman"/>
          <w:sz w:val="24"/>
          <w:szCs w:val="24"/>
          <w:lang w:eastAsia="bg-BG"/>
        </w:rPr>
      </w:pPr>
      <w:r w:rsidRPr="00BD5BB8">
        <w:rPr>
          <w:rFonts w:ascii="Times New Roman" w:eastAsia="Calibri" w:hAnsi="Times New Roman" w:cs="Times New Roman"/>
          <w:sz w:val="24"/>
          <w:szCs w:val="24"/>
          <w:lang w:eastAsia="bg-BG"/>
        </w:rPr>
        <w:t xml:space="preserve">С отпускането на </w:t>
      </w:r>
      <w:r w:rsidRPr="00BD5BB8">
        <w:rPr>
          <w:rFonts w:ascii="Times New Roman" w:eastAsia="Calibri" w:hAnsi="Times New Roman" w:cs="Times New Roman"/>
          <w:b/>
          <w:bCs/>
          <w:sz w:val="24"/>
          <w:szCs w:val="24"/>
          <w:lang w:eastAsia="bg-BG"/>
        </w:rPr>
        <w:t xml:space="preserve">целева помощ за отопление </w:t>
      </w:r>
      <w:r w:rsidRPr="00BD5BB8">
        <w:rPr>
          <w:rFonts w:ascii="Times New Roman" w:eastAsia="Calibri" w:hAnsi="Times New Roman" w:cs="Times New Roman"/>
          <w:sz w:val="24"/>
          <w:szCs w:val="24"/>
          <w:lang w:eastAsia="bg-BG"/>
        </w:rPr>
        <w:t xml:space="preserve">се осигурява отопление през зимния период (5 месеца – от ноември до март, включително), на хората в най-тежко социално положение. И тук, както при месечните социални помощи, </w:t>
      </w:r>
      <w:r w:rsidRPr="00BD5BB8">
        <w:rPr>
          <w:rFonts w:ascii="Times New Roman" w:eastAsia="Calibri" w:hAnsi="Times New Roman" w:cs="Times New Roman"/>
          <w:b/>
          <w:bCs/>
          <w:sz w:val="24"/>
          <w:szCs w:val="24"/>
          <w:lang w:eastAsia="bg-BG"/>
        </w:rPr>
        <w:t>най-високите индивидуални проценти са определени за възрастните самотни хора и хората с трайни увреждания</w:t>
      </w:r>
      <w:r w:rsidRPr="00BD5BB8">
        <w:rPr>
          <w:rFonts w:ascii="Times New Roman" w:eastAsia="Calibri" w:hAnsi="Times New Roman" w:cs="Times New Roman"/>
          <w:sz w:val="24"/>
          <w:szCs w:val="24"/>
          <w:lang w:eastAsia="bg-BG"/>
        </w:rPr>
        <w:t xml:space="preserve"> при спазване на описаните по-горе принципи. С ежегодните промени на Наредба №РД07-5 от 16.05.2008 г. за условията и реда за отпускане на целева помощ за отопление се цели да се компенсират увеличения на цената на електроенергията, което пряко засяга най-уязвимите социални групи, включени в програмата за целево енергийно подпомагане. В края на 2018 г. във връзка </w:t>
      </w:r>
      <w:r w:rsidRPr="00BD5BB8">
        <w:rPr>
          <w:rFonts w:ascii="Times New Roman" w:eastAsia="Calibri" w:hAnsi="Times New Roman" w:cs="Times New Roman"/>
          <w:sz w:val="24"/>
          <w:szCs w:val="24"/>
          <w:lang w:eastAsia="bg-BG"/>
        </w:rPr>
        <w:lastRenderedPageBreak/>
        <w:t xml:space="preserve">с поскъпването в цените на енергоизточниците и с цел компенсиране най-нуждаещите се домакинства е предоставена допълнителна финансова подкрепа възоснова на Решение №833 от 22.11.2018 г. на Министерския съвет чрез отпускане на </w:t>
      </w:r>
      <w:r w:rsidRPr="00BD5BB8">
        <w:rPr>
          <w:rFonts w:ascii="Times New Roman" w:eastAsia="Calibri" w:hAnsi="Times New Roman" w:cs="Times New Roman"/>
          <w:i/>
          <w:sz w:val="24"/>
          <w:szCs w:val="24"/>
          <w:lang w:eastAsia="bg-BG"/>
        </w:rPr>
        <w:t>допълнителни</w:t>
      </w:r>
      <w:r w:rsidRPr="00BD5BB8">
        <w:rPr>
          <w:rFonts w:ascii="Times New Roman" w:eastAsia="Calibri" w:hAnsi="Times New Roman" w:cs="Times New Roman"/>
          <w:sz w:val="24"/>
          <w:szCs w:val="24"/>
          <w:lang w:eastAsia="bg-BG"/>
        </w:rPr>
        <w:t xml:space="preserve"> </w:t>
      </w:r>
      <w:r w:rsidRPr="00BD5BB8">
        <w:rPr>
          <w:rFonts w:ascii="Times New Roman" w:eastAsia="Calibri" w:hAnsi="Times New Roman" w:cs="Times New Roman"/>
          <w:b/>
          <w:sz w:val="24"/>
          <w:szCs w:val="24"/>
          <w:lang w:eastAsia="bg-BG"/>
        </w:rPr>
        <w:t>100</w:t>
      </w:r>
      <w:r w:rsidRPr="00BD5BB8">
        <w:rPr>
          <w:rFonts w:ascii="Times New Roman" w:eastAsia="Calibri" w:hAnsi="Times New Roman" w:cs="Times New Roman"/>
          <w:sz w:val="24"/>
          <w:szCs w:val="24"/>
          <w:lang w:eastAsia="bg-BG"/>
        </w:rPr>
        <w:t xml:space="preserve"> лв. на лицата и семействата, на които е отпусната целева помощ за отопление за отоплителен сезон 2018/2019 г.</w:t>
      </w:r>
      <w:r w:rsidRPr="00BD5BB8">
        <w:rPr>
          <w:rFonts w:ascii="Times New Roman" w:eastAsia="Calibri" w:hAnsi="Times New Roman" w:cs="Times New Roman"/>
          <w:bCs/>
          <w:sz w:val="24"/>
          <w:szCs w:val="24"/>
          <w:lang w:eastAsia="bg-BG"/>
        </w:rPr>
        <w:t xml:space="preserve"> по </w:t>
      </w:r>
      <w:r w:rsidRPr="00BD5BB8">
        <w:rPr>
          <w:rFonts w:ascii="Times New Roman" w:eastAsia="Calibri" w:hAnsi="Times New Roman" w:cs="Times New Roman"/>
          <w:sz w:val="24"/>
          <w:szCs w:val="24"/>
          <w:lang w:eastAsia="bg-BG"/>
        </w:rPr>
        <w:t>Наредба № РД 07-5 от 2008 г. за условията и реда за отпускане на целева помощ за отопление. За отоплителен</w:t>
      </w:r>
      <w:r w:rsidRPr="00BD5BB8">
        <w:rPr>
          <w:rFonts w:ascii="Times New Roman" w:eastAsia="Calibri" w:hAnsi="Times New Roman" w:cs="Times New Roman"/>
          <w:bCs/>
          <w:sz w:val="24"/>
          <w:szCs w:val="24"/>
          <w:lang w:eastAsia="bg-BG"/>
        </w:rPr>
        <w:t xml:space="preserve"> сезон 2018/2019 г. </w:t>
      </w:r>
      <w:r w:rsidRPr="00BD5BB8">
        <w:rPr>
          <w:rFonts w:ascii="Times New Roman" w:eastAsia="Calibri" w:hAnsi="Times New Roman" w:cs="Times New Roman"/>
          <w:sz w:val="24"/>
          <w:szCs w:val="24"/>
          <w:lang w:eastAsia="bg-BG"/>
        </w:rPr>
        <w:t xml:space="preserve">са </w:t>
      </w:r>
      <w:r w:rsidRPr="00BD5BB8">
        <w:rPr>
          <w:rFonts w:ascii="Times New Roman" w:eastAsia="Calibri" w:hAnsi="Times New Roman" w:cs="Times New Roman"/>
          <w:bCs/>
          <w:sz w:val="24"/>
          <w:szCs w:val="24"/>
          <w:lang w:eastAsia="bg-BG"/>
        </w:rPr>
        <w:t xml:space="preserve">начислени помощи по </w:t>
      </w:r>
      <w:r w:rsidRPr="00BD5BB8">
        <w:rPr>
          <w:rFonts w:ascii="Times New Roman" w:eastAsia="Calibri" w:hAnsi="Times New Roman" w:cs="Times New Roman"/>
          <w:b/>
          <w:bCs/>
          <w:sz w:val="24"/>
          <w:szCs w:val="24"/>
          <w:lang w:eastAsia="bg-BG"/>
        </w:rPr>
        <w:t>209 647</w:t>
      </w:r>
      <w:r w:rsidRPr="00BD5BB8">
        <w:rPr>
          <w:rFonts w:ascii="Times New Roman" w:eastAsia="Calibri" w:hAnsi="Times New Roman" w:cs="Times New Roman"/>
          <w:bCs/>
          <w:sz w:val="24"/>
          <w:szCs w:val="24"/>
          <w:lang w:eastAsia="bg-BG"/>
        </w:rPr>
        <w:t xml:space="preserve"> </w:t>
      </w:r>
      <w:r w:rsidRPr="00BD5BB8">
        <w:rPr>
          <w:rFonts w:ascii="Times New Roman" w:eastAsia="Calibri" w:hAnsi="Times New Roman" w:cs="Times New Roman"/>
          <w:sz w:val="24"/>
          <w:szCs w:val="24"/>
          <w:lang w:eastAsia="bg-BG"/>
        </w:rPr>
        <w:t>издадени заповеди за отпускане на помощта</w:t>
      </w:r>
      <w:r w:rsidRPr="00BD5BB8">
        <w:rPr>
          <w:rFonts w:ascii="Times New Roman" w:eastAsia="Calibri" w:hAnsi="Times New Roman" w:cs="Times New Roman"/>
          <w:bCs/>
          <w:sz w:val="24"/>
          <w:szCs w:val="24"/>
          <w:lang w:eastAsia="bg-BG"/>
        </w:rPr>
        <w:t xml:space="preserve">, в т. ч еднократната финансова подкрепа в размер на 100 лева. </w:t>
      </w:r>
      <w:r w:rsidRPr="00BD5BB8">
        <w:rPr>
          <w:rFonts w:ascii="Times New Roman" w:eastAsia="Calibri" w:hAnsi="Times New Roman" w:cs="Times New Roman"/>
          <w:sz w:val="24"/>
          <w:szCs w:val="24"/>
          <w:lang w:eastAsia="bg-BG"/>
        </w:rPr>
        <w:t>За отоплителен</w:t>
      </w:r>
      <w:r w:rsidRPr="00BD5BB8">
        <w:rPr>
          <w:rFonts w:ascii="Times New Roman" w:eastAsia="Calibri" w:hAnsi="Times New Roman" w:cs="Times New Roman"/>
          <w:bCs/>
          <w:sz w:val="24"/>
          <w:szCs w:val="24"/>
          <w:lang w:eastAsia="bg-BG"/>
        </w:rPr>
        <w:t xml:space="preserve"> сезон 2017/2018 г. бяха</w:t>
      </w:r>
      <w:r w:rsidRPr="00BD5BB8">
        <w:rPr>
          <w:rFonts w:ascii="Times New Roman" w:eastAsia="Calibri" w:hAnsi="Times New Roman" w:cs="Times New Roman"/>
          <w:sz w:val="24"/>
          <w:szCs w:val="24"/>
          <w:lang w:eastAsia="bg-BG"/>
        </w:rPr>
        <w:t xml:space="preserve"> </w:t>
      </w:r>
      <w:r w:rsidRPr="00BD5BB8">
        <w:rPr>
          <w:rFonts w:ascii="Times New Roman" w:eastAsia="Calibri" w:hAnsi="Times New Roman" w:cs="Times New Roman"/>
          <w:bCs/>
          <w:sz w:val="24"/>
          <w:szCs w:val="24"/>
          <w:lang w:eastAsia="bg-BG"/>
        </w:rPr>
        <w:t xml:space="preserve">начислени помощи по 204 635 </w:t>
      </w:r>
      <w:r w:rsidRPr="00BD5BB8">
        <w:rPr>
          <w:rFonts w:ascii="Times New Roman" w:eastAsia="Calibri" w:hAnsi="Times New Roman" w:cs="Times New Roman"/>
          <w:sz w:val="24"/>
          <w:szCs w:val="24"/>
          <w:lang w:eastAsia="bg-BG"/>
        </w:rPr>
        <w:t>издадени заповеди за отпускане на помощта.</w:t>
      </w:r>
    </w:p>
    <w:p w:rsidR="009A56A1" w:rsidRPr="00BD5BB8" w:rsidRDefault="009A56A1" w:rsidP="00E7186B">
      <w:pPr>
        <w:numPr>
          <w:ilvl w:val="0"/>
          <w:numId w:val="33"/>
        </w:numPr>
        <w:tabs>
          <w:tab w:val="left" w:pos="1134"/>
        </w:tabs>
        <w:spacing w:after="0" w:line="240" w:lineRule="auto"/>
        <w:ind w:left="0" w:firstLine="1069"/>
        <w:contextualSpacing/>
        <w:jc w:val="both"/>
        <w:rPr>
          <w:rFonts w:ascii="Times New Roman" w:eastAsia="Calibri" w:hAnsi="Times New Roman" w:cs="Times New Roman"/>
          <w:sz w:val="24"/>
          <w:szCs w:val="24"/>
          <w:lang w:eastAsia="bg-BG"/>
        </w:rPr>
      </w:pPr>
      <w:r w:rsidRPr="00BD5BB8">
        <w:rPr>
          <w:rFonts w:ascii="Times New Roman" w:eastAsia="Calibri" w:hAnsi="Times New Roman" w:cs="Times New Roman"/>
          <w:sz w:val="24"/>
          <w:szCs w:val="24"/>
          <w:lang w:eastAsia="bg-BG"/>
        </w:rPr>
        <w:t xml:space="preserve">За лицата, които нямат доход и/или лично имущество, което да им осигурява лично участие в здравноосигурителния процес се отпускат </w:t>
      </w:r>
      <w:r w:rsidRPr="00BD5BB8">
        <w:rPr>
          <w:rFonts w:ascii="Times New Roman" w:eastAsia="Calibri" w:hAnsi="Times New Roman" w:cs="Times New Roman"/>
          <w:b/>
          <w:bCs/>
          <w:sz w:val="24"/>
          <w:szCs w:val="24"/>
          <w:lang w:eastAsia="bg-BG"/>
        </w:rPr>
        <w:t xml:space="preserve">целеви средства за диагностика и лечение в лечебни заведения. </w:t>
      </w:r>
      <w:r w:rsidRPr="00BD5BB8">
        <w:rPr>
          <w:rFonts w:ascii="Times New Roman" w:eastAsia="Calibri" w:hAnsi="Times New Roman" w:cs="Times New Roman"/>
          <w:bCs/>
          <w:sz w:val="24"/>
          <w:szCs w:val="24"/>
          <w:lang w:eastAsia="bg-BG"/>
        </w:rPr>
        <w:t>През 2018 г. на лечебните заведения за болнична помощ чрез Националната здравноосигурителна каса са преведени средства за  диагностика и лечение  на 5 470 брой лица. През 2017 г. са преведени средства за 5 228 лица.</w:t>
      </w:r>
    </w:p>
    <w:p w:rsidR="009A56A1" w:rsidRPr="00BD5BB8" w:rsidRDefault="009A56A1" w:rsidP="00E7186B">
      <w:pPr>
        <w:numPr>
          <w:ilvl w:val="0"/>
          <w:numId w:val="33"/>
        </w:numPr>
        <w:tabs>
          <w:tab w:val="left" w:pos="1134"/>
        </w:tabs>
        <w:spacing w:after="0" w:line="240" w:lineRule="auto"/>
        <w:ind w:left="0" w:firstLine="1069"/>
        <w:contextualSpacing/>
        <w:jc w:val="both"/>
        <w:rPr>
          <w:rFonts w:ascii="Times New Roman" w:eastAsia="Calibri" w:hAnsi="Times New Roman" w:cs="Times New Roman"/>
          <w:sz w:val="24"/>
          <w:szCs w:val="24"/>
          <w:lang w:eastAsia="bg-BG"/>
        </w:rPr>
      </w:pPr>
      <w:r w:rsidRPr="00BD5BB8">
        <w:rPr>
          <w:rFonts w:ascii="Times New Roman" w:eastAsia="Calibri" w:hAnsi="Times New Roman" w:cs="Times New Roman"/>
          <w:bCs/>
          <w:sz w:val="24"/>
          <w:szCs w:val="24"/>
          <w:lang w:eastAsia="bg-BG"/>
        </w:rPr>
        <w:t>Предоставят се и</w:t>
      </w:r>
      <w:r w:rsidRPr="00BD5BB8">
        <w:rPr>
          <w:rFonts w:ascii="Times New Roman" w:eastAsia="Calibri" w:hAnsi="Times New Roman" w:cs="Times New Roman"/>
          <w:b/>
          <w:bCs/>
          <w:sz w:val="24"/>
          <w:szCs w:val="24"/>
          <w:lang w:eastAsia="bg-BG"/>
        </w:rPr>
        <w:t xml:space="preserve"> целеви помощи за ветерани от войните и военноинвалиди, </w:t>
      </w:r>
      <w:r w:rsidRPr="00BD5BB8">
        <w:rPr>
          <w:rFonts w:ascii="Times New Roman" w:eastAsia="Calibri" w:hAnsi="Times New Roman" w:cs="Times New Roman"/>
          <w:bCs/>
          <w:sz w:val="24"/>
          <w:szCs w:val="24"/>
          <w:lang w:eastAsia="bg-BG"/>
        </w:rPr>
        <w:t>като общия средномесечен брой на случаите през</w:t>
      </w:r>
      <w:r w:rsidRPr="00BD5BB8">
        <w:rPr>
          <w:rFonts w:ascii="Times New Roman" w:eastAsia="Calibri" w:hAnsi="Times New Roman" w:cs="Times New Roman"/>
          <w:b/>
          <w:bCs/>
          <w:sz w:val="24"/>
          <w:szCs w:val="24"/>
          <w:lang w:eastAsia="bg-BG"/>
        </w:rPr>
        <w:t xml:space="preserve"> </w:t>
      </w:r>
      <w:r w:rsidRPr="00BD5BB8">
        <w:rPr>
          <w:rFonts w:ascii="Times New Roman" w:eastAsia="Calibri" w:hAnsi="Times New Roman" w:cs="Times New Roman"/>
          <w:bCs/>
          <w:sz w:val="24"/>
          <w:szCs w:val="24"/>
          <w:lang w:eastAsia="bg-BG"/>
        </w:rPr>
        <w:t xml:space="preserve">2018 г. е </w:t>
      </w:r>
      <w:r w:rsidRPr="00BD5BB8">
        <w:rPr>
          <w:rFonts w:ascii="Times New Roman" w:eastAsia="Calibri" w:hAnsi="Times New Roman" w:cs="Times New Roman"/>
          <w:b/>
          <w:bCs/>
          <w:sz w:val="24"/>
          <w:szCs w:val="24"/>
          <w:lang w:eastAsia="bg-BG"/>
        </w:rPr>
        <w:t>3 410</w:t>
      </w:r>
      <w:r w:rsidRPr="00BD5BB8">
        <w:rPr>
          <w:rFonts w:ascii="Times New Roman" w:eastAsia="Calibri" w:hAnsi="Times New Roman" w:cs="Times New Roman"/>
          <w:bCs/>
          <w:sz w:val="24"/>
          <w:szCs w:val="24"/>
          <w:lang w:eastAsia="bg-BG"/>
        </w:rPr>
        <w:t>, от които 1 897 военноинвалиди и военнопострадали и 1 513 ветерани от войните, а през 2017 г. средномесечният брой случаи е 3 541, от които 1 776 военноинвалиди и военнопострадали и 1 765 ветерани от войните.</w:t>
      </w:r>
    </w:p>
    <w:p w:rsidR="009A56A1" w:rsidRPr="00BD5BB8" w:rsidRDefault="009A56A1" w:rsidP="00E7186B">
      <w:pPr>
        <w:numPr>
          <w:ilvl w:val="0"/>
          <w:numId w:val="3"/>
        </w:numPr>
        <w:tabs>
          <w:tab w:val="left" w:pos="1134"/>
        </w:tabs>
        <w:spacing w:after="0" w:line="240" w:lineRule="auto"/>
        <w:ind w:left="0" w:firstLine="426"/>
        <w:jc w:val="both"/>
        <w:rPr>
          <w:rFonts w:ascii="Times New Roman" w:eastAsia="Calibri" w:hAnsi="Times New Roman" w:cs="Times New Roman"/>
          <w:sz w:val="24"/>
          <w:szCs w:val="24"/>
        </w:rPr>
      </w:pPr>
      <w:r w:rsidRPr="00BD5BB8">
        <w:rPr>
          <w:rFonts w:ascii="Times New Roman" w:eastAsia="Calibri" w:hAnsi="Times New Roman" w:cs="Times New Roman"/>
          <w:b/>
          <w:bCs/>
          <w:sz w:val="24"/>
          <w:szCs w:val="24"/>
        </w:rPr>
        <w:t>Еднократни помощи</w:t>
      </w:r>
      <w:r w:rsidRPr="00BD5BB8">
        <w:rPr>
          <w:rFonts w:ascii="Times New Roman" w:eastAsia="Calibri" w:hAnsi="Times New Roman" w:cs="Times New Roman"/>
          <w:sz w:val="24"/>
          <w:szCs w:val="24"/>
        </w:rPr>
        <w:t xml:space="preserve"> се отпускат за задоволяване на инцидентно възникнали здравни, образователни, комунално-битови и други жизненоважни потребности на лицата и семействата и се отпускат веднъж в годината, до петкратния размер на гарантирания минимален доход; издаване на лична карта – еднократно до размера на гарантирания минимален доход; покриване на разходите за дневни и квартирни при проведено лечение в чужбина. През 2018 г. общият брой на отпуснатите еднократни помощи в страната е 6 963 бр., а пред 2017 г. броят на подпомогнатите с еднократни помощи лица и семейства е бил 7 260. Сравнителният анализ показва намаление с 297 в броя на подпомогнатите лица и семейства, но финансовите показатели на изплатените помощи през двете отчетни години са еднакви – близо 2 183 000 лв. </w:t>
      </w:r>
    </w:p>
    <w:p w:rsidR="002B6EEC" w:rsidRPr="00BD5BB8" w:rsidRDefault="002B6EEC" w:rsidP="009A56A1">
      <w:pPr>
        <w:shd w:val="clear" w:color="auto" w:fill="FFFFFF"/>
        <w:tabs>
          <w:tab w:val="left" w:pos="0"/>
        </w:tabs>
        <w:spacing w:after="0" w:line="240" w:lineRule="auto"/>
        <w:jc w:val="center"/>
        <w:rPr>
          <w:rFonts w:ascii="Times New Roman" w:hAnsi="Times New Roman" w:cs="Times New Roman"/>
          <w:b/>
          <w:bCs/>
          <w:sz w:val="24"/>
          <w:szCs w:val="24"/>
        </w:rPr>
      </w:pPr>
    </w:p>
    <w:p w:rsidR="009A56A1" w:rsidRPr="00BD5BB8" w:rsidRDefault="009A56A1" w:rsidP="009A56A1">
      <w:pPr>
        <w:shd w:val="clear" w:color="auto" w:fill="FFFFFF"/>
        <w:tabs>
          <w:tab w:val="left" w:pos="0"/>
        </w:tabs>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Социални услуги</w:t>
      </w:r>
    </w:p>
    <w:p w:rsidR="009A56A1" w:rsidRPr="00BD5BB8" w:rsidRDefault="009A56A1" w:rsidP="009A56A1">
      <w:pPr>
        <w:shd w:val="clear" w:color="auto" w:fill="FFFFFF"/>
        <w:tabs>
          <w:tab w:val="left" w:pos="0"/>
        </w:tabs>
        <w:spacing w:after="0" w:line="240" w:lineRule="auto"/>
        <w:jc w:val="center"/>
        <w:rPr>
          <w:rFonts w:ascii="Times New Roman" w:hAnsi="Times New Roman" w:cs="Times New Roman"/>
          <w:b/>
          <w:bCs/>
          <w:sz w:val="24"/>
          <w:szCs w:val="24"/>
        </w:rPr>
      </w:pPr>
    </w:p>
    <w:p w:rsidR="009A56A1" w:rsidRPr="00BD5BB8" w:rsidRDefault="009A56A1" w:rsidP="009A56A1">
      <w:pPr>
        <w:tabs>
          <w:tab w:val="left" w:pos="993"/>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Осъществяването на цялостната реформа в системата на грижа за пълнолетните лица стартира с приемането на Националната стратегия за дългосрочна грижа (НСДГ) през 2014 г., която установи концептуалната рамка за изграждането и развитието на ефективна съвременна система от социални и интегрирани услуги за дългосрочна грижа и се постави специален акцент върху деинституционализацията на грижата за хората с увреждания и възрастните хора.</w:t>
      </w:r>
    </w:p>
    <w:p w:rsidR="009A56A1" w:rsidRPr="00BD5BB8" w:rsidRDefault="0057239B" w:rsidP="009A56A1">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През 2018 г. с Решение №</w:t>
      </w:r>
      <w:r w:rsidR="009A56A1" w:rsidRPr="00BD5BB8">
        <w:rPr>
          <w:rFonts w:ascii="Times New Roman" w:hAnsi="Times New Roman" w:cs="Times New Roman"/>
          <w:sz w:val="24"/>
          <w:szCs w:val="24"/>
        </w:rPr>
        <w:t xml:space="preserve">28 от 19.01.2018 г. Министерският съвет прие План за действие за периода 2018-2021 г. за изпълнение на НСГД. Планът е в съответствие с визията, приоритетите и целите на Стратегията и обхваща мерките за първия етап от изпълнението на процеса на деинституционализация на пълнолетните лица. В Плана са включени и дейности за оценка на потребностите и изследване на желанията на всички пълнолетни лица, които ползват услуги в специализирани институции, с цел планиране на втория етап от процеса на деинституционализация на грижата за лицата с </w:t>
      </w:r>
      <w:r w:rsidR="009A56A1" w:rsidRPr="00BD5BB8">
        <w:rPr>
          <w:rFonts w:ascii="Times New Roman" w:hAnsi="Times New Roman" w:cs="Times New Roman"/>
          <w:sz w:val="24"/>
          <w:szCs w:val="24"/>
        </w:rPr>
        <w:lastRenderedPageBreak/>
        <w:t xml:space="preserve">увреждания и възрастните хора, който трябва да бъде завършен до 2034 година. Най-сериозният фокус в Плана е поставен върху спешното осигуряване на качествени условия за живот на лицата с умствена изостаналост и с психични разстройства, които в момента са настанени в специализираните институции с недобри условия и недобро качество на грижата. Една от основните цели на Плана е ограничаването на мрежата от специализирани институции и на достъпа до тях, извеждане от специализирани институции на хора с увреждания и закриване на десет специализирани институции за хора с увреждания (с умствена изостаналост и с психични разстройства), които са с най-неприемливи условия за живот. </w:t>
      </w:r>
    </w:p>
    <w:p w:rsidR="009A56A1" w:rsidRPr="00BD5BB8" w:rsidRDefault="009A56A1" w:rsidP="009A56A1">
      <w:pPr>
        <w:tabs>
          <w:tab w:val="left" w:pos="993"/>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В изпълнение на Плана за действие за периода 2018-2021 г. - в изпълнение на НСГД, на 22.02.2018 г. Междуведомствена група на високо ниво за управление и координация на процеса на деинституционализация на грижата за възрастните хора и хората с увреж</w:t>
      </w:r>
      <w:r w:rsidR="0057239B">
        <w:rPr>
          <w:rFonts w:ascii="Times New Roman" w:hAnsi="Times New Roman" w:cs="Times New Roman"/>
          <w:sz w:val="24"/>
          <w:szCs w:val="24"/>
        </w:rPr>
        <w:t>дания, определена със Заповед №</w:t>
      </w:r>
      <w:r w:rsidRPr="00BD5BB8">
        <w:rPr>
          <w:rFonts w:ascii="Times New Roman" w:hAnsi="Times New Roman" w:cs="Times New Roman"/>
          <w:sz w:val="24"/>
          <w:szCs w:val="24"/>
        </w:rPr>
        <w:t>Р-22/08.02.2018 г. на министър-председателя на Република България, прие предложение за закриване на 10 специализирани институции за пълнолетни лица с психични разстройства и умствена изостаналост, както и Картата на услугите за подкрепа в общността и Картата на резидентните услуги по Плана за действие. В тази връзка през м. март 2018 г. са издадени 12 заповеди на изпълнителния директор на АСП за преустановяване на настаняването в социални услуги за пълнолетни лица с психични разстройства и умствена изостаналост, предвидени в Плана за закриване/намаляване на капацитета.</w:t>
      </w:r>
    </w:p>
    <w:p w:rsidR="009A56A1" w:rsidRPr="00BD5BB8" w:rsidRDefault="009A56A1" w:rsidP="009A56A1">
      <w:pPr>
        <w:tabs>
          <w:tab w:val="left" w:pos="993"/>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Съгласно Плана в Картите са определени:</w:t>
      </w:r>
    </w:p>
    <w:p w:rsidR="009A56A1" w:rsidRPr="00BD5BB8" w:rsidRDefault="009A56A1" w:rsidP="00E7186B">
      <w:pPr>
        <w:numPr>
          <w:ilvl w:val="0"/>
          <w:numId w:val="34"/>
        </w:numPr>
        <w:tabs>
          <w:tab w:val="left" w:pos="993"/>
        </w:tabs>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общините, в които ще бъдат създадени 100 нови социални услуги чрез финансиране по Оперативна програма „Региони в растеж“ (ОПРР) 2014-2020 г. и по Оперативна програма „Развитие на човешките ресурси“ 2014-2020 г. (ОП РЧР);</w:t>
      </w:r>
    </w:p>
    <w:p w:rsidR="009A56A1" w:rsidRPr="00BD5BB8" w:rsidRDefault="009A56A1" w:rsidP="00E7186B">
      <w:pPr>
        <w:numPr>
          <w:ilvl w:val="0"/>
          <w:numId w:val="34"/>
        </w:numPr>
        <w:tabs>
          <w:tab w:val="left" w:pos="993"/>
        </w:tabs>
        <w:spacing w:after="0" w:line="240" w:lineRule="auto"/>
        <w:ind w:left="0" w:firstLine="426"/>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 xml:space="preserve">индикативната стойност на дейностите за изграждане </w:t>
      </w:r>
      <w:r w:rsidR="00E82FA0" w:rsidRPr="00BD5BB8">
        <w:rPr>
          <w:rFonts w:ascii="Times New Roman" w:eastAsia="Times New Roman" w:hAnsi="Times New Roman" w:cs="Times New Roman"/>
          <w:sz w:val="24"/>
          <w:szCs w:val="24"/>
          <w:lang w:eastAsia="bg-BG"/>
        </w:rPr>
        <w:t>/</w:t>
      </w:r>
      <w:r w:rsidRPr="00BD5BB8">
        <w:rPr>
          <w:rFonts w:ascii="Times New Roman" w:eastAsia="Times New Roman" w:hAnsi="Times New Roman" w:cs="Times New Roman"/>
          <w:sz w:val="24"/>
          <w:szCs w:val="24"/>
          <w:lang w:eastAsia="bg-BG"/>
        </w:rPr>
        <w:t>ремонт/обзавеждане/оборудване за отделните видове социални услуги, които ще бъдат създадени чрез финансиране по ОПРР 2014-2020 година.</w:t>
      </w:r>
    </w:p>
    <w:p w:rsidR="009A56A1" w:rsidRPr="00BD5BB8" w:rsidRDefault="009A56A1" w:rsidP="009A56A1">
      <w:pPr>
        <w:tabs>
          <w:tab w:val="left" w:pos="993"/>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Картата на резидентните услуги включва 68 социални услуги за 1 020 потребители, а Картата на услугите за подкрепа в общността включва 32 нови социални услуги за минимум  1 120 потребители.</w:t>
      </w:r>
    </w:p>
    <w:p w:rsidR="009A56A1" w:rsidRPr="00BD5BB8" w:rsidRDefault="009A56A1" w:rsidP="009A56A1">
      <w:pPr>
        <w:tabs>
          <w:tab w:val="left" w:pos="993"/>
        </w:tabs>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Редът и условията за разкриване, предоставяне и ползване на социални услуги в Република България са регламентирани в Закона за социално подпомагане и Правилника за неговото прилагане. </w:t>
      </w:r>
    </w:p>
    <w:p w:rsidR="009A56A1" w:rsidRPr="00BD5BB8" w:rsidRDefault="009A56A1" w:rsidP="009A56A1">
      <w:pPr>
        <w:tabs>
          <w:tab w:val="left" w:pos="993"/>
        </w:tabs>
        <w:spacing w:after="0" w:line="240" w:lineRule="auto"/>
        <w:ind w:firstLine="709"/>
        <w:jc w:val="both"/>
        <w:rPr>
          <w:rFonts w:ascii="Times New Roman" w:hAnsi="Times New Roman" w:cs="Times New Roman"/>
          <w:b/>
          <w:bCs/>
          <w:sz w:val="24"/>
          <w:szCs w:val="24"/>
        </w:rPr>
      </w:pPr>
      <w:r w:rsidRPr="00BD5BB8">
        <w:rPr>
          <w:rFonts w:ascii="Times New Roman" w:hAnsi="Times New Roman" w:cs="Times New Roman"/>
          <w:sz w:val="24"/>
          <w:szCs w:val="24"/>
        </w:rPr>
        <w:t xml:space="preserve">Към 31.12.2018 г. на територията на страната функционират </w:t>
      </w:r>
      <w:r w:rsidRPr="00BD5BB8">
        <w:rPr>
          <w:rFonts w:ascii="Times New Roman" w:hAnsi="Times New Roman" w:cs="Times New Roman"/>
          <w:b/>
          <w:sz w:val="24"/>
          <w:szCs w:val="24"/>
        </w:rPr>
        <w:t>695 социални услуги за пълнолетни лица</w:t>
      </w:r>
      <w:r w:rsidRPr="00BD5BB8">
        <w:rPr>
          <w:rFonts w:ascii="Times New Roman" w:hAnsi="Times New Roman" w:cs="Times New Roman"/>
          <w:sz w:val="24"/>
          <w:szCs w:val="24"/>
        </w:rPr>
        <w:t>, като държавно делегирана дейност, а к</w:t>
      </w:r>
      <w:r w:rsidRPr="00BD5BB8">
        <w:rPr>
          <w:rFonts w:ascii="Times New Roman" w:hAnsi="Times New Roman" w:cs="Times New Roman"/>
          <w:b/>
          <w:bCs/>
          <w:sz w:val="24"/>
          <w:szCs w:val="24"/>
        </w:rPr>
        <w:t xml:space="preserve">ъм 31.12.2017 г. </w:t>
      </w:r>
      <w:r w:rsidRPr="00BD5BB8">
        <w:rPr>
          <w:rFonts w:ascii="Times New Roman" w:hAnsi="Times New Roman" w:cs="Times New Roman"/>
          <w:sz w:val="24"/>
          <w:szCs w:val="24"/>
        </w:rPr>
        <w:t xml:space="preserve">са функционирали </w:t>
      </w:r>
      <w:r w:rsidRPr="00BD5BB8">
        <w:rPr>
          <w:rFonts w:ascii="Times New Roman" w:hAnsi="Times New Roman" w:cs="Times New Roman"/>
          <w:b/>
          <w:bCs/>
          <w:sz w:val="24"/>
          <w:szCs w:val="24"/>
        </w:rPr>
        <w:t>669 социални услуги за пълнолетни лица.</w:t>
      </w:r>
    </w:p>
    <w:p w:rsidR="009A56A1" w:rsidRPr="00BD5BB8" w:rsidRDefault="009A56A1" w:rsidP="009A56A1">
      <w:pPr>
        <w:spacing w:after="0" w:line="240" w:lineRule="auto"/>
        <w:ind w:firstLine="708"/>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Cs/>
          <w:sz w:val="24"/>
          <w:szCs w:val="24"/>
          <w:lang w:eastAsia="bg-BG"/>
        </w:rPr>
        <w:t xml:space="preserve">През 2018 г. са открити </w:t>
      </w:r>
      <w:r w:rsidRPr="00BD5BB8">
        <w:rPr>
          <w:rFonts w:ascii="Times New Roman" w:eastAsia="Times New Roman" w:hAnsi="Times New Roman" w:cs="Times New Roman"/>
          <w:b/>
          <w:bCs/>
          <w:sz w:val="24"/>
          <w:szCs w:val="24"/>
          <w:lang w:eastAsia="bg-BG"/>
        </w:rPr>
        <w:t>нови 19</w:t>
      </w:r>
      <w:r w:rsidRPr="00BD5BB8">
        <w:rPr>
          <w:rFonts w:ascii="Times New Roman" w:eastAsia="Times New Roman" w:hAnsi="Times New Roman" w:cs="Times New Roman"/>
          <w:bCs/>
          <w:sz w:val="24"/>
          <w:szCs w:val="24"/>
          <w:lang w:eastAsia="bg-BG"/>
        </w:rPr>
        <w:t xml:space="preserve"> социални услуги в общността, в т. ч. и от резидентен тип, с общ капацитет </w:t>
      </w:r>
      <w:r w:rsidRPr="00BD5BB8">
        <w:rPr>
          <w:rFonts w:ascii="Times New Roman" w:eastAsia="Times New Roman" w:hAnsi="Times New Roman" w:cs="Times New Roman"/>
          <w:b/>
          <w:bCs/>
          <w:sz w:val="24"/>
          <w:szCs w:val="24"/>
          <w:lang w:eastAsia="bg-BG"/>
        </w:rPr>
        <w:t>422 места</w:t>
      </w:r>
      <w:r w:rsidRPr="00BD5BB8">
        <w:rPr>
          <w:rFonts w:ascii="Times New Roman" w:eastAsia="Times New Roman" w:hAnsi="Times New Roman" w:cs="Times New Roman"/>
          <w:bCs/>
          <w:sz w:val="24"/>
          <w:szCs w:val="24"/>
          <w:lang w:eastAsia="bg-BG"/>
        </w:rPr>
        <w:t xml:space="preserve">, а през </w:t>
      </w:r>
      <w:r w:rsidRPr="00BD5BB8">
        <w:rPr>
          <w:rFonts w:ascii="Times New Roman" w:eastAsia="Times New Roman" w:hAnsi="Times New Roman" w:cs="Times New Roman"/>
          <w:b/>
          <w:bCs/>
          <w:sz w:val="24"/>
          <w:szCs w:val="24"/>
          <w:lang w:eastAsia="bg-BG"/>
        </w:rPr>
        <w:t xml:space="preserve">2017 г. </w:t>
      </w:r>
      <w:r w:rsidRPr="00BD5BB8">
        <w:rPr>
          <w:rFonts w:ascii="Times New Roman" w:eastAsia="Times New Roman" w:hAnsi="Times New Roman" w:cs="Times New Roman"/>
          <w:bCs/>
          <w:sz w:val="24"/>
          <w:szCs w:val="24"/>
          <w:lang w:eastAsia="bg-BG"/>
        </w:rPr>
        <w:t xml:space="preserve">техният брой е </w:t>
      </w:r>
      <w:r w:rsidRPr="00BD5BB8">
        <w:rPr>
          <w:rFonts w:ascii="Times New Roman" w:eastAsia="Times New Roman" w:hAnsi="Times New Roman" w:cs="Times New Roman"/>
          <w:b/>
          <w:bCs/>
          <w:sz w:val="24"/>
          <w:szCs w:val="24"/>
          <w:lang w:eastAsia="bg-BG"/>
        </w:rPr>
        <w:t xml:space="preserve">23 </w:t>
      </w:r>
      <w:r w:rsidRPr="00BD5BB8">
        <w:rPr>
          <w:rFonts w:ascii="Times New Roman" w:eastAsia="Times New Roman" w:hAnsi="Times New Roman" w:cs="Times New Roman"/>
          <w:bCs/>
          <w:sz w:val="24"/>
          <w:szCs w:val="24"/>
          <w:lang w:eastAsia="bg-BG"/>
        </w:rPr>
        <w:t xml:space="preserve">с общ капацитет </w:t>
      </w:r>
      <w:r w:rsidRPr="00BD5BB8">
        <w:rPr>
          <w:rFonts w:ascii="Times New Roman" w:eastAsia="Times New Roman" w:hAnsi="Times New Roman" w:cs="Times New Roman"/>
          <w:b/>
          <w:bCs/>
          <w:sz w:val="24"/>
          <w:szCs w:val="24"/>
          <w:lang w:eastAsia="bg-BG"/>
        </w:rPr>
        <w:t>397 места.</w:t>
      </w:r>
    </w:p>
    <w:p w:rsidR="009A56A1" w:rsidRPr="00BD5BB8" w:rsidRDefault="009A56A1" w:rsidP="009A56A1">
      <w:pPr>
        <w:spacing w:after="0" w:line="240" w:lineRule="auto"/>
        <w:ind w:firstLine="708"/>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Увеличен е капацитета</w:t>
      </w:r>
      <w:r w:rsidRPr="00BD5BB8">
        <w:rPr>
          <w:rFonts w:ascii="Times New Roman" w:eastAsia="Times New Roman" w:hAnsi="Times New Roman" w:cs="Times New Roman"/>
          <w:bCs/>
          <w:sz w:val="24"/>
          <w:szCs w:val="24"/>
          <w:lang w:eastAsia="bg-BG"/>
        </w:rPr>
        <w:t xml:space="preserve"> на </w:t>
      </w:r>
      <w:r w:rsidRPr="00BD5BB8">
        <w:rPr>
          <w:rFonts w:ascii="Times New Roman" w:eastAsia="Times New Roman" w:hAnsi="Times New Roman" w:cs="Times New Roman"/>
          <w:b/>
          <w:bCs/>
          <w:sz w:val="24"/>
          <w:szCs w:val="24"/>
          <w:lang w:eastAsia="bg-BG"/>
        </w:rPr>
        <w:t>11</w:t>
      </w:r>
      <w:r w:rsidRPr="00BD5BB8">
        <w:rPr>
          <w:rFonts w:ascii="Times New Roman" w:eastAsia="Times New Roman" w:hAnsi="Times New Roman" w:cs="Times New Roman"/>
          <w:bCs/>
          <w:sz w:val="24"/>
          <w:szCs w:val="24"/>
          <w:lang w:eastAsia="bg-BG"/>
        </w:rPr>
        <w:t xml:space="preserve"> социални услуги в общността през 2018 г. с общо </w:t>
      </w:r>
      <w:r w:rsidRPr="00BD5BB8">
        <w:rPr>
          <w:rFonts w:ascii="Times New Roman" w:eastAsia="Times New Roman" w:hAnsi="Times New Roman" w:cs="Times New Roman"/>
          <w:b/>
          <w:bCs/>
          <w:sz w:val="24"/>
          <w:szCs w:val="24"/>
          <w:lang w:eastAsia="bg-BG"/>
        </w:rPr>
        <w:t>81</w:t>
      </w:r>
      <w:r w:rsidRPr="00BD5BB8">
        <w:rPr>
          <w:rFonts w:ascii="Times New Roman" w:eastAsia="Times New Roman" w:hAnsi="Times New Roman" w:cs="Times New Roman"/>
          <w:bCs/>
          <w:sz w:val="24"/>
          <w:szCs w:val="24"/>
          <w:lang w:eastAsia="bg-BG"/>
        </w:rPr>
        <w:t xml:space="preserve"> места, а през 2017 г. </w:t>
      </w:r>
      <w:r w:rsidRPr="00BD5BB8">
        <w:rPr>
          <w:rFonts w:ascii="Times New Roman" w:eastAsia="Times New Roman" w:hAnsi="Times New Roman" w:cs="Times New Roman"/>
          <w:b/>
          <w:bCs/>
          <w:sz w:val="24"/>
          <w:szCs w:val="24"/>
          <w:lang w:eastAsia="bg-BG"/>
        </w:rPr>
        <w:t xml:space="preserve">4 </w:t>
      </w:r>
      <w:r w:rsidRPr="00BD5BB8">
        <w:rPr>
          <w:rFonts w:ascii="Times New Roman" w:eastAsia="Times New Roman" w:hAnsi="Times New Roman" w:cs="Times New Roman"/>
          <w:bCs/>
          <w:sz w:val="24"/>
          <w:szCs w:val="24"/>
          <w:lang w:eastAsia="bg-BG"/>
        </w:rPr>
        <w:t>социални услуги в общността, в т.ч. и от резидентен тип</w:t>
      </w:r>
      <w:r w:rsidRPr="00BD5BB8">
        <w:rPr>
          <w:rFonts w:ascii="Times New Roman" w:eastAsia="Times New Roman" w:hAnsi="Times New Roman" w:cs="Times New Roman"/>
          <w:b/>
          <w:bCs/>
          <w:sz w:val="24"/>
          <w:szCs w:val="24"/>
          <w:lang w:eastAsia="bg-BG"/>
        </w:rPr>
        <w:t xml:space="preserve"> са с </w:t>
      </w:r>
      <w:r w:rsidRPr="00BD5BB8">
        <w:rPr>
          <w:rFonts w:ascii="Times New Roman" w:eastAsia="Times New Roman" w:hAnsi="Times New Roman" w:cs="Times New Roman"/>
          <w:bCs/>
          <w:sz w:val="24"/>
          <w:szCs w:val="24"/>
          <w:lang w:eastAsia="bg-BG"/>
        </w:rPr>
        <w:t xml:space="preserve">общо </w:t>
      </w:r>
      <w:r w:rsidRPr="00BD5BB8">
        <w:rPr>
          <w:rFonts w:ascii="Times New Roman" w:eastAsia="Times New Roman" w:hAnsi="Times New Roman" w:cs="Times New Roman"/>
          <w:b/>
          <w:bCs/>
          <w:sz w:val="24"/>
          <w:szCs w:val="24"/>
          <w:lang w:eastAsia="bg-BG"/>
        </w:rPr>
        <w:t xml:space="preserve">23 </w:t>
      </w:r>
      <w:r w:rsidRPr="00BD5BB8">
        <w:rPr>
          <w:rFonts w:ascii="Times New Roman" w:eastAsia="Times New Roman" w:hAnsi="Times New Roman" w:cs="Times New Roman"/>
          <w:bCs/>
          <w:sz w:val="24"/>
          <w:szCs w:val="24"/>
          <w:lang w:eastAsia="bg-BG"/>
        </w:rPr>
        <w:t xml:space="preserve">места </w:t>
      </w:r>
      <w:r w:rsidRPr="00BD5BB8">
        <w:rPr>
          <w:rFonts w:ascii="Times New Roman" w:eastAsia="Times New Roman" w:hAnsi="Times New Roman" w:cs="Times New Roman"/>
          <w:b/>
          <w:bCs/>
          <w:sz w:val="24"/>
          <w:szCs w:val="24"/>
          <w:lang w:eastAsia="bg-BG"/>
        </w:rPr>
        <w:t>увеличен капацитет.</w:t>
      </w:r>
    </w:p>
    <w:p w:rsidR="009A56A1" w:rsidRPr="00BD5BB8" w:rsidRDefault="009A56A1" w:rsidP="009A56A1">
      <w:pPr>
        <w:spacing w:after="0" w:line="240" w:lineRule="auto"/>
        <w:ind w:firstLine="708"/>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За новоразкритите социални услуги и за увеличаване капацитета на съществуващите не са осигурени средства от държавния бюджет. Финансовите средства са осигурени чрез компенсирани промени между отделните социални услуги.</w:t>
      </w:r>
    </w:p>
    <w:p w:rsidR="009A56A1" w:rsidRPr="00BD5BB8" w:rsidRDefault="009A56A1" w:rsidP="009A56A1">
      <w:pPr>
        <w:spacing w:after="0" w:line="240" w:lineRule="auto"/>
        <w:ind w:firstLine="708"/>
        <w:jc w:val="center"/>
        <w:rPr>
          <w:rFonts w:ascii="Times New Roman" w:hAnsi="Times New Roman" w:cs="Times New Roman"/>
          <w:b/>
          <w:sz w:val="24"/>
          <w:szCs w:val="24"/>
        </w:rPr>
      </w:pPr>
    </w:p>
    <w:p w:rsidR="00C22A43" w:rsidRPr="00BD5BB8" w:rsidRDefault="00C22A43" w:rsidP="009A56A1">
      <w:pPr>
        <w:spacing w:after="0" w:line="240" w:lineRule="auto"/>
        <w:ind w:firstLine="708"/>
        <w:jc w:val="center"/>
        <w:rPr>
          <w:rFonts w:ascii="Times New Roman" w:hAnsi="Times New Roman" w:cs="Times New Roman"/>
          <w:b/>
          <w:sz w:val="24"/>
          <w:szCs w:val="24"/>
        </w:rPr>
      </w:pPr>
    </w:p>
    <w:p w:rsidR="00C22A43" w:rsidRPr="00BD5BB8" w:rsidRDefault="00C22A43" w:rsidP="009A56A1">
      <w:pPr>
        <w:spacing w:after="0" w:line="240" w:lineRule="auto"/>
        <w:ind w:firstLine="708"/>
        <w:jc w:val="center"/>
        <w:rPr>
          <w:rFonts w:ascii="Times New Roman" w:hAnsi="Times New Roman" w:cs="Times New Roman"/>
          <w:b/>
          <w:sz w:val="24"/>
          <w:szCs w:val="24"/>
        </w:rPr>
      </w:pPr>
    </w:p>
    <w:p w:rsidR="009A56A1" w:rsidRPr="00BD5BB8" w:rsidRDefault="009A56A1" w:rsidP="009A56A1">
      <w:pPr>
        <w:spacing w:after="0" w:line="240" w:lineRule="auto"/>
        <w:ind w:firstLine="708"/>
        <w:jc w:val="center"/>
        <w:rPr>
          <w:rFonts w:ascii="Times New Roman" w:hAnsi="Times New Roman" w:cs="Times New Roman"/>
          <w:b/>
          <w:sz w:val="24"/>
          <w:szCs w:val="24"/>
        </w:rPr>
      </w:pPr>
      <w:r w:rsidRPr="00BD5BB8">
        <w:rPr>
          <w:rFonts w:ascii="Times New Roman" w:hAnsi="Times New Roman" w:cs="Times New Roman"/>
          <w:b/>
          <w:sz w:val="24"/>
          <w:szCs w:val="24"/>
        </w:rPr>
        <w:lastRenderedPageBreak/>
        <w:t>Изпълнявани мерки и програми</w:t>
      </w:r>
    </w:p>
    <w:p w:rsidR="009A56A1" w:rsidRPr="00BD5BB8" w:rsidRDefault="009A56A1" w:rsidP="009A56A1">
      <w:pPr>
        <w:spacing w:after="0" w:line="240" w:lineRule="auto"/>
        <w:ind w:firstLine="709"/>
        <w:jc w:val="both"/>
        <w:rPr>
          <w:rFonts w:ascii="Times New Roman" w:hAnsi="Times New Roman" w:cs="Times New Roman"/>
          <w:b/>
          <w:bCs/>
          <w:sz w:val="24"/>
          <w:szCs w:val="24"/>
        </w:rPr>
      </w:pPr>
    </w:p>
    <w:p w:rsidR="009A56A1" w:rsidRPr="00BD5BB8" w:rsidRDefault="009A56A1" w:rsidP="009A56A1">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
          <w:bCs/>
          <w:sz w:val="24"/>
          <w:szCs w:val="24"/>
        </w:rPr>
        <w:t>Националната програма „Асистенти на хора с увреждания“ (НП АХУ) -</w:t>
      </w:r>
      <w:r w:rsidRPr="00BD5BB8">
        <w:rPr>
          <w:rFonts w:ascii="Times New Roman" w:hAnsi="Times New Roman" w:cs="Times New Roman"/>
          <w:sz w:val="24"/>
          <w:szCs w:val="24"/>
        </w:rPr>
        <w:t xml:space="preserve"> Агенцията за социално подпомагане в партньорство с Агенцията по заетостта (АЗ), реализира Национална програма „Асистенти на хора с увреждания“ (НП АХУ), в изпълнение на Националния план за действие по заетостта (НПДЗ), който се приема ежегодно с решение на Министерския съвет. Националната програма осигурява заетост на безработни лица за облекчаване на положението на семействата, в които има човек с трайни увреждания, нуждаещ се от постоянни грижи. Целта е постигане на социална адаптивност в рамките на съществуващата инвалидност.</w:t>
      </w:r>
    </w:p>
    <w:p w:rsidR="009A56A1" w:rsidRPr="00BD5BB8" w:rsidRDefault="009A56A1" w:rsidP="009A56A1">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Cs/>
          <w:sz w:val="24"/>
          <w:szCs w:val="24"/>
        </w:rPr>
        <w:t>Национална програма „Асистенти на хора с увреждания“</w:t>
      </w:r>
      <w:r w:rsidRPr="00BD5BB8">
        <w:rPr>
          <w:rFonts w:ascii="Times New Roman" w:hAnsi="Times New Roman" w:cs="Times New Roman"/>
          <w:sz w:val="24"/>
          <w:szCs w:val="24"/>
        </w:rPr>
        <w:t xml:space="preserve"> се реализира от дирекциите „Социално подпомагане“ чрез изпълнението на 2 дейности, като една от тях е </w:t>
      </w:r>
      <w:r w:rsidRPr="00BD5BB8">
        <w:rPr>
          <w:rFonts w:ascii="Times New Roman" w:hAnsi="Times New Roman" w:cs="Times New Roman"/>
          <w:b/>
          <w:sz w:val="24"/>
          <w:szCs w:val="24"/>
        </w:rPr>
        <w:t>дейност „Личен асистент“</w:t>
      </w:r>
      <w:r w:rsidRPr="00BD5BB8">
        <w:rPr>
          <w:rFonts w:ascii="Times New Roman" w:hAnsi="Times New Roman" w:cs="Times New Roman"/>
          <w:sz w:val="24"/>
          <w:szCs w:val="24"/>
        </w:rPr>
        <w:t>, по която се осигурява социална услуга в домашна среда на лица с трайни увреждания с 90 и над 90 на сто трайно намалена  работоспособност с определено право на чужда помощ, както и лица, изведени от специализирана институция.</w:t>
      </w:r>
      <w:r w:rsidRPr="00BD5BB8">
        <w:rPr>
          <w:rFonts w:ascii="Times New Roman" w:hAnsi="Times New Roman" w:cs="Times New Roman"/>
          <w:bCs/>
          <w:sz w:val="24"/>
          <w:szCs w:val="24"/>
        </w:rPr>
        <w:t xml:space="preserve"> </w:t>
      </w:r>
    </w:p>
    <w:p w:rsidR="009A56A1" w:rsidRPr="00BD5BB8" w:rsidRDefault="009A56A1" w:rsidP="009A56A1">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sz w:val="24"/>
          <w:szCs w:val="24"/>
        </w:rPr>
        <w:t xml:space="preserve">През 2017 г. броят на лицата, включени в </w:t>
      </w:r>
      <w:r w:rsidRPr="00BD5BB8">
        <w:rPr>
          <w:rFonts w:ascii="Times New Roman" w:hAnsi="Times New Roman" w:cs="Times New Roman"/>
          <w:bCs/>
          <w:sz w:val="24"/>
          <w:szCs w:val="24"/>
        </w:rPr>
        <w:t xml:space="preserve">НП АХУ </w:t>
      </w:r>
      <w:r w:rsidRPr="00BD5BB8">
        <w:rPr>
          <w:rFonts w:ascii="Times New Roman" w:hAnsi="Times New Roman" w:cs="Times New Roman"/>
          <w:sz w:val="24"/>
          <w:szCs w:val="24"/>
        </w:rPr>
        <w:t xml:space="preserve">е общо 2 167, от които 2 023 лица в дейност „Личен асистент“. През 2018 г. броят на лицата, включени в </w:t>
      </w:r>
      <w:r w:rsidRPr="00BD5BB8">
        <w:rPr>
          <w:rFonts w:ascii="Times New Roman" w:hAnsi="Times New Roman" w:cs="Times New Roman"/>
          <w:bCs/>
          <w:sz w:val="24"/>
          <w:szCs w:val="24"/>
        </w:rPr>
        <w:t xml:space="preserve">НП АХУ </w:t>
      </w:r>
      <w:r w:rsidRPr="00BD5BB8">
        <w:rPr>
          <w:rFonts w:ascii="Times New Roman" w:hAnsi="Times New Roman" w:cs="Times New Roman"/>
          <w:sz w:val="24"/>
          <w:szCs w:val="24"/>
        </w:rPr>
        <w:t xml:space="preserve">е общо </w:t>
      </w:r>
      <w:r w:rsidRPr="00BD5BB8">
        <w:rPr>
          <w:rFonts w:ascii="Times New Roman" w:hAnsi="Times New Roman" w:cs="Times New Roman"/>
          <w:b/>
          <w:sz w:val="24"/>
          <w:szCs w:val="24"/>
        </w:rPr>
        <w:t>2 131</w:t>
      </w:r>
      <w:r w:rsidRPr="00BD5BB8">
        <w:rPr>
          <w:rFonts w:ascii="Times New Roman" w:hAnsi="Times New Roman" w:cs="Times New Roman"/>
          <w:sz w:val="24"/>
          <w:szCs w:val="24"/>
        </w:rPr>
        <w:t>, от които 1 986 лица в дейност „Личен асистент“.</w:t>
      </w:r>
    </w:p>
    <w:p w:rsidR="009A56A1" w:rsidRPr="00BD5BB8" w:rsidRDefault="0057239B" w:rsidP="009A56A1">
      <w:pPr>
        <w:spacing w:after="0" w:line="240" w:lineRule="auto"/>
        <w:ind w:firstLine="709"/>
        <w:jc w:val="both"/>
        <w:rPr>
          <w:rFonts w:ascii="Times New Roman" w:hAnsi="Times New Roman" w:cs="Times New Roman"/>
          <w:sz w:val="24"/>
          <w:szCs w:val="24"/>
        </w:rPr>
      </w:pPr>
      <w:r>
        <w:rPr>
          <w:rFonts w:ascii="Times New Roman" w:hAnsi="Times New Roman" w:cs="Times New Roman"/>
          <w:b/>
          <w:bCs/>
          <w:sz w:val="24"/>
          <w:szCs w:val="24"/>
        </w:rPr>
        <w:t>Постановление №</w:t>
      </w:r>
      <w:r w:rsidR="009A56A1" w:rsidRPr="00BD5BB8">
        <w:rPr>
          <w:rFonts w:ascii="Times New Roman" w:hAnsi="Times New Roman" w:cs="Times New Roman"/>
          <w:b/>
          <w:bCs/>
          <w:sz w:val="24"/>
          <w:szCs w:val="24"/>
        </w:rPr>
        <w:t xml:space="preserve">137 от 05.07.2017 г. на Министерския съвет - </w:t>
      </w:r>
      <w:r w:rsidR="009A56A1" w:rsidRPr="00BD5BB8">
        <w:rPr>
          <w:rFonts w:ascii="Times New Roman" w:hAnsi="Times New Roman" w:cs="Times New Roman"/>
          <w:sz w:val="24"/>
          <w:szCs w:val="24"/>
        </w:rPr>
        <w:t xml:space="preserve">във връзка с приключване на проектните дейности по процедура BG05M9OP001-2.002 „Независим живот”, изпълнявани от общините, които осигуриха подобряване качеството на живот и на достъпа до услуги за социално включване в отговор на комплексните потребности, включително и здравни - на хора с увреждания и хора над 65 г. в невъзможност за самообслужване бяха предприети действия по продължаване на предоставянето на социалните услуги </w:t>
      </w:r>
      <w:r w:rsidR="009A56A1" w:rsidRPr="00BD5BB8">
        <w:rPr>
          <w:rFonts w:ascii="Times New Roman" w:hAnsi="Times New Roman" w:cs="Times New Roman"/>
          <w:b/>
          <w:bCs/>
          <w:iCs/>
          <w:sz w:val="24"/>
          <w:szCs w:val="24"/>
        </w:rPr>
        <w:t xml:space="preserve">„личен асистент“, „социален асистент“ </w:t>
      </w:r>
      <w:r w:rsidR="009A56A1" w:rsidRPr="00BD5BB8">
        <w:rPr>
          <w:rFonts w:ascii="Times New Roman" w:hAnsi="Times New Roman" w:cs="Times New Roman"/>
          <w:sz w:val="24"/>
          <w:szCs w:val="24"/>
        </w:rPr>
        <w:t xml:space="preserve">и </w:t>
      </w:r>
      <w:r w:rsidR="009A56A1" w:rsidRPr="00BD5BB8">
        <w:rPr>
          <w:rFonts w:ascii="Times New Roman" w:hAnsi="Times New Roman" w:cs="Times New Roman"/>
          <w:b/>
          <w:bCs/>
          <w:iCs/>
          <w:sz w:val="24"/>
          <w:szCs w:val="24"/>
        </w:rPr>
        <w:t>„домашен помощник“</w:t>
      </w:r>
      <w:r w:rsidR="009A56A1" w:rsidRPr="00BD5BB8">
        <w:rPr>
          <w:rFonts w:ascii="Times New Roman" w:hAnsi="Times New Roman" w:cs="Times New Roman"/>
          <w:b/>
          <w:bCs/>
          <w:i/>
          <w:iCs/>
          <w:sz w:val="24"/>
          <w:szCs w:val="24"/>
        </w:rPr>
        <w:t xml:space="preserve"> </w:t>
      </w:r>
      <w:r w:rsidR="009A56A1" w:rsidRPr="00BD5BB8">
        <w:rPr>
          <w:rFonts w:ascii="Times New Roman" w:hAnsi="Times New Roman" w:cs="Times New Roman"/>
          <w:sz w:val="24"/>
          <w:szCs w:val="24"/>
        </w:rPr>
        <w:t>на потребителите, за които е извършена социална оценка по правилата на операция „Независим живот“, финансирана по Оперативна програма „Развитие на човешките ресурси“ 2014-2020 г., и след приключване на финансирането по програмата.</w:t>
      </w:r>
      <w:r w:rsidR="009A56A1" w:rsidRPr="00BD5BB8">
        <w:rPr>
          <w:rFonts w:ascii="Times New Roman" w:hAnsi="Times New Roman" w:cs="Times New Roman"/>
          <w:b/>
          <w:bCs/>
          <w:i/>
          <w:iCs/>
          <w:sz w:val="24"/>
          <w:szCs w:val="24"/>
        </w:rPr>
        <w:t xml:space="preserve"> </w:t>
      </w:r>
      <w:r w:rsidR="009A56A1" w:rsidRPr="00BD5BB8">
        <w:rPr>
          <w:rFonts w:ascii="Times New Roman" w:hAnsi="Times New Roman" w:cs="Times New Roman"/>
          <w:b/>
          <w:bCs/>
          <w:iCs/>
          <w:sz w:val="24"/>
          <w:szCs w:val="24"/>
        </w:rPr>
        <w:t>От месец юли 2017 г</w:t>
      </w:r>
      <w:r w:rsidR="009A56A1" w:rsidRPr="00BD5BB8">
        <w:rPr>
          <w:rFonts w:ascii="Times New Roman" w:hAnsi="Times New Roman" w:cs="Times New Roman"/>
          <w:sz w:val="24"/>
          <w:szCs w:val="24"/>
        </w:rPr>
        <w:t xml:space="preserve">. до края на годината от услугите в домашна среда се възползваха общо </w:t>
      </w:r>
      <w:r w:rsidR="009A56A1" w:rsidRPr="00BD5BB8">
        <w:rPr>
          <w:rFonts w:ascii="Times New Roman" w:hAnsi="Times New Roman" w:cs="Times New Roman"/>
          <w:b/>
          <w:bCs/>
          <w:iCs/>
          <w:sz w:val="24"/>
          <w:szCs w:val="24"/>
        </w:rPr>
        <w:t>13 520 потребители</w:t>
      </w:r>
      <w:r w:rsidR="009A56A1" w:rsidRPr="00BD5BB8">
        <w:rPr>
          <w:rFonts w:ascii="Times New Roman" w:hAnsi="Times New Roman" w:cs="Times New Roman"/>
          <w:sz w:val="24"/>
          <w:szCs w:val="24"/>
        </w:rPr>
        <w:t xml:space="preserve">, в това число от „личен асистент“ - </w:t>
      </w:r>
      <w:r w:rsidR="009A56A1" w:rsidRPr="00BD5BB8">
        <w:rPr>
          <w:rFonts w:ascii="Times New Roman" w:hAnsi="Times New Roman" w:cs="Times New Roman"/>
          <w:b/>
          <w:bCs/>
          <w:iCs/>
          <w:sz w:val="24"/>
          <w:szCs w:val="24"/>
        </w:rPr>
        <w:t>7 635</w:t>
      </w:r>
      <w:r w:rsidR="009A56A1" w:rsidRPr="00BD5BB8">
        <w:rPr>
          <w:rFonts w:ascii="Times New Roman" w:hAnsi="Times New Roman" w:cs="Times New Roman"/>
          <w:sz w:val="24"/>
          <w:szCs w:val="24"/>
        </w:rPr>
        <w:t xml:space="preserve">; от „социален асистент“ – </w:t>
      </w:r>
      <w:r w:rsidR="009A56A1" w:rsidRPr="00BD5BB8">
        <w:rPr>
          <w:rFonts w:ascii="Times New Roman" w:hAnsi="Times New Roman" w:cs="Times New Roman"/>
          <w:b/>
          <w:bCs/>
          <w:iCs/>
          <w:sz w:val="24"/>
          <w:szCs w:val="24"/>
        </w:rPr>
        <w:t xml:space="preserve">1 712 </w:t>
      </w:r>
      <w:r w:rsidR="009A56A1" w:rsidRPr="00BD5BB8">
        <w:rPr>
          <w:rFonts w:ascii="Times New Roman" w:hAnsi="Times New Roman" w:cs="Times New Roman"/>
          <w:sz w:val="24"/>
          <w:szCs w:val="24"/>
        </w:rPr>
        <w:t xml:space="preserve">и от „домашен помощник“ – </w:t>
      </w:r>
      <w:r w:rsidR="009A56A1" w:rsidRPr="00BD5BB8">
        <w:rPr>
          <w:rFonts w:ascii="Times New Roman" w:hAnsi="Times New Roman" w:cs="Times New Roman"/>
          <w:b/>
          <w:bCs/>
          <w:iCs/>
          <w:sz w:val="24"/>
          <w:szCs w:val="24"/>
        </w:rPr>
        <w:t>4 258</w:t>
      </w:r>
      <w:r w:rsidR="009A56A1" w:rsidRPr="00BD5BB8">
        <w:rPr>
          <w:rFonts w:ascii="Times New Roman" w:hAnsi="Times New Roman" w:cs="Times New Roman"/>
          <w:sz w:val="24"/>
          <w:szCs w:val="24"/>
        </w:rPr>
        <w:t xml:space="preserve">. Общият брой на наетите за предоставяне на услугите е </w:t>
      </w:r>
      <w:r w:rsidR="009A56A1" w:rsidRPr="00BD5BB8">
        <w:rPr>
          <w:rFonts w:ascii="Times New Roman" w:hAnsi="Times New Roman" w:cs="Times New Roman"/>
          <w:b/>
          <w:bCs/>
          <w:iCs/>
          <w:sz w:val="24"/>
          <w:szCs w:val="24"/>
        </w:rPr>
        <w:t>9 521 лица</w:t>
      </w:r>
      <w:r w:rsidR="009A56A1" w:rsidRPr="00BD5BB8">
        <w:rPr>
          <w:rFonts w:ascii="Times New Roman" w:hAnsi="Times New Roman" w:cs="Times New Roman"/>
          <w:sz w:val="24"/>
          <w:szCs w:val="24"/>
        </w:rPr>
        <w:t>.</w:t>
      </w:r>
    </w:p>
    <w:p w:rsidR="009A56A1" w:rsidRPr="00BD5BB8" w:rsidRDefault="009A56A1" w:rsidP="009A56A1">
      <w:pPr>
        <w:spacing w:after="0" w:line="240" w:lineRule="auto"/>
        <w:ind w:firstLine="709"/>
        <w:jc w:val="both"/>
        <w:rPr>
          <w:rFonts w:ascii="Times New Roman" w:hAnsi="Times New Roman" w:cs="Times New Roman"/>
          <w:sz w:val="24"/>
          <w:szCs w:val="24"/>
        </w:rPr>
      </w:pPr>
      <w:r w:rsidRPr="00BD5BB8">
        <w:rPr>
          <w:rFonts w:ascii="Times New Roman" w:hAnsi="Times New Roman" w:cs="Times New Roman"/>
          <w:b/>
          <w:sz w:val="24"/>
          <w:szCs w:val="24"/>
        </w:rPr>
        <w:t xml:space="preserve">Постановление № 332 от 22.12.2017 г. на Министерския съвет - </w:t>
      </w:r>
      <w:r w:rsidRPr="00BD5BB8">
        <w:rPr>
          <w:rFonts w:ascii="Times New Roman" w:hAnsi="Times New Roman" w:cs="Times New Roman"/>
          <w:sz w:val="24"/>
          <w:szCs w:val="24"/>
        </w:rPr>
        <w:t xml:space="preserve">във връзка с чл. 20 от ПМС № 332/22.12.2017 г. за изпълнение на Държавния бюджет на Република България за 2018 г. (Постановлението) и с оглед обезпечаване на законосъобразното и ефективно администриране на финансов ресурс за целево осигуряване на социални услуги в домашна среда („Личeн асистент”, „Социален асистент“ и „Домашен помощник“) - за хора с увреждания и лица над 65 г. с ограничения или в невъзможност за самообслужване през 2018 г., бяха сключени споразумения между Агенцията за социално подпомагане и общините в Република България, за които е приключило финансирането по програмата „Независим живот“.  В изпълнение на Постановлението </w:t>
      </w:r>
      <w:r w:rsidRPr="00BD5BB8">
        <w:rPr>
          <w:rFonts w:ascii="Times New Roman" w:hAnsi="Times New Roman" w:cs="Times New Roman"/>
          <w:b/>
          <w:sz w:val="24"/>
          <w:szCs w:val="24"/>
        </w:rPr>
        <w:t>АСП трансферира средства до 293 общини</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и райони</w:t>
      </w:r>
      <w:r w:rsidRPr="00BD5BB8">
        <w:rPr>
          <w:rFonts w:ascii="Times New Roman" w:hAnsi="Times New Roman" w:cs="Times New Roman"/>
          <w:sz w:val="24"/>
          <w:szCs w:val="24"/>
        </w:rPr>
        <w:t xml:space="preserve"> .През 2018 г. от услугите в домашна среда се възползваха </w:t>
      </w:r>
      <w:r w:rsidRPr="00BD5BB8">
        <w:rPr>
          <w:rFonts w:ascii="Times New Roman" w:hAnsi="Times New Roman" w:cs="Times New Roman"/>
          <w:b/>
          <w:sz w:val="24"/>
          <w:szCs w:val="24"/>
        </w:rPr>
        <w:t>средномесечно 22 513 потребители</w:t>
      </w:r>
      <w:r w:rsidRPr="00BD5BB8">
        <w:rPr>
          <w:rFonts w:ascii="Times New Roman" w:hAnsi="Times New Roman" w:cs="Times New Roman"/>
          <w:sz w:val="24"/>
          <w:szCs w:val="24"/>
        </w:rPr>
        <w:t xml:space="preserve">, а </w:t>
      </w:r>
      <w:r w:rsidRPr="00BD5BB8">
        <w:rPr>
          <w:rFonts w:ascii="Times New Roman" w:hAnsi="Times New Roman" w:cs="Times New Roman"/>
          <w:b/>
          <w:sz w:val="24"/>
          <w:szCs w:val="24"/>
        </w:rPr>
        <w:t xml:space="preserve">средномесечният </w:t>
      </w:r>
      <w:r w:rsidRPr="00BD5BB8">
        <w:rPr>
          <w:rFonts w:ascii="Times New Roman" w:hAnsi="Times New Roman" w:cs="Times New Roman"/>
          <w:sz w:val="24"/>
          <w:szCs w:val="24"/>
        </w:rPr>
        <w:t xml:space="preserve">брой на </w:t>
      </w:r>
      <w:r w:rsidRPr="00BD5BB8">
        <w:rPr>
          <w:rFonts w:ascii="Times New Roman" w:hAnsi="Times New Roman" w:cs="Times New Roman"/>
          <w:b/>
          <w:sz w:val="24"/>
          <w:szCs w:val="24"/>
        </w:rPr>
        <w:t>лицата, предоставяли социалните услуги</w:t>
      </w:r>
      <w:r w:rsidRPr="00BD5BB8">
        <w:rPr>
          <w:rFonts w:ascii="Times New Roman" w:hAnsi="Times New Roman" w:cs="Times New Roman"/>
          <w:sz w:val="24"/>
          <w:szCs w:val="24"/>
        </w:rPr>
        <w:t xml:space="preserve"> през е </w:t>
      </w:r>
      <w:r w:rsidRPr="00BD5BB8">
        <w:rPr>
          <w:rFonts w:ascii="Times New Roman" w:hAnsi="Times New Roman" w:cs="Times New Roman"/>
          <w:b/>
          <w:sz w:val="24"/>
          <w:szCs w:val="24"/>
        </w:rPr>
        <w:t>15 985</w:t>
      </w:r>
      <w:r w:rsidRPr="00BD5BB8">
        <w:rPr>
          <w:rFonts w:ascii="Times New Roman" w:hAnsi="Times New Roman" w:cs="Times New Roman"/>
          <w:sz w:val="24"/>
          <w:szCs w:val="24"/>
        </w:rPr>
        <w:t>.</w:t>
      </w:r>
    </w:p>
    <w:p w:rsidR="009A56A1" w:rsidRPr="00BD5BB8" w:rsidRDefault="009A56A1" w:rsidP="009A56A1">
      <w:pPr>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BD5BB8">
        <w:rPr>
          <w:rFonts w:ascii="Times New Roman" w:eastAsia="Times New Roman" w:hAnsi="Times New Roman" w:cs="Times New Roman"/>
          <w:sz w:val="24"/>
          <w:szCs w:val="24"/>
          <w:lang w:eastAsia="bg-BG"/>
        </w:rPr>
        <w:t xml:space="preserve">Чрез Закона за интеграция на хората с увреждания (ЗИХУ) и Правилника за неговото прилагане (ППЗИХУ) са създадени </w:t>
      </w:r>
      <w:r w:rsidRPr="00BD5BB8">
        <w:rPr>
          <w:rFonts w:ascii="Times New Roman" w:eastAsia="Times New Roman" w:hAnsi="Times New Roman" w:cs="Times New Roman"/>
          <w:b/>
          <w:bCs/>
          <w:sz w:val="24"/>
          <w:szCs w:val="24"/>
          <w:lang w:eastAsia="bg-BG"/>
        </w:rPr>
        <w:t xml:space="preserve">гаранции и стимули за интеграция и равнопоставеност на лицата с увреждания, в т.ч. и на възрастните хора с </w:t>
      </w:r>
      <w:r w:rsidRPr="00BD5BB8">
        <w:rPr>
          <w:rFonts w:ascii="Times New Roman" w:eastAsia="Times New Roman" w:hAnsi="Times New Roman" w:cs="Times New Roman"/>
          <w:b/>
          <w:bCs/>
          <w:sz w:val="24"/>
          <w:szCs w:val="24"/>
          <w:lang w:eastAsia="bg-BG"/>
        </w:rPr>
        <w:lastRenderedPageBreak/>
        <w:t>увреждания</w:t>
      </w:r>
      <w:r w:rsidRPr="00BD5BB8">
        <w:rPr>
          <w:rFonts w:ascii="Times New Roman" w:eastAsia="Times New Roman" w:hAnsi="Times New Roman" w:cs="Times New Roman"/>
          <w:sz w:val="24"/>
          <w:szCs w:val="24"/>
          <w:lang w:eastAsia="bg-BG"/>
        </w:rPr>
        <w:t xml:space="preserve">, и са очертани параметрите на </w:t>
      </w:r>
      <w:r w:rsidRPr="00BD5BB8">
        <w:rPr>
          <w:rFonts w:ascii="Times New Roman" w:eastAsia="Times New Roman" w:hAnsi="Times New Roman" w:cs="Times New Roman"/>
          <w:b/>
          <w:bCs/>
          <w:sz w:val="24"/>
          <w:szCs w:val="24"/>
          <w:lang w:eastAsia="bg-BG"/>
        </w:rPr>
        <w:t>социално-икономическата им защита</w:t>
      </w:r>
      <w:r w:rsidRPr="00BD5BB8">
        <w:rPr>
          <w:rFonts w:ascii="Times New Roman" w:eastAsia="Times New Roman" w:hAnsi="Times New Roman" w:cs="Times New Roman"/>
          <w:sz w:val="24"/>
          <w:szCs w:val="24"/>
          <w:lang w:eastAsia="bg-BG"/>
        </w:rPr>
        <w:t>, ч</w:t>
      </w:r>
      <w:r w:rsidRPr="00BD5BB8">
        <w:rPr>
          <w:rFonts w:ascii="Times New Roman" w:eastAsia="Times New Roman" w:hAnsi="Times New Roman" w:cs="Times New Roman"/>
          <w:sz w:val="24"/>
          <w:szCs w:val="24"/>
        </w:rPr>
        <w:t xml:space="preserve">рез предоставяне на следните </w:t>
      </w:r>
      <w:r w:rsidRPr="00BD5BB8">
        <w:rPr>
          <w:rFonts w:ascii="Times New Roman" w:eastAsia="Times New Roman" w:hAnsi="Times New Roman" w:cs="Times New Roman"/>
          <w:b/>
          <w:bCs/>
          <w:sz w:val="24"/>
          <w:szCs w:val="24"/>
        </w:rPr>
        <w:t>допълнителни средства за компенсиране на увреждането</w:t>
      </w:r>
      <w:r w:rsidRPr="00BD5BB8">
        <w:rPr>
          <w:rFonts w:ascii="Times New Roman" w:eastAsia="Times New Roman" w:hAnsi="Times New Roman" w:cs="Times New Roman"/>
          <w:sz w:val="24"/>
          <w:szCs w:val="24"/>
        </w:rPr>
        <w:t>:</w:t>
      </w:r>
    </w:p>
    <w:p w:rsidR="009A56A1" w:rsidRPr="00BD5BB8" w:rsidRDefault="009A56A1" w:rsidP="00E7186B">
      <w:pPr>
        <w:numPr>
          <w:ilvl w:val="0"/>
          <w:numId w:val="35"/>
        </w:numPr>
        <w:tabs>
          <w:tab w:val="left" w:pos="993"/>
        </w:tabs>
        <w:spacing w:after="0" w:line="240" w:lineRule="auto"/>
        <w:ind w:left="0" w:firstLine="567"/>
        <w:contextualSpacing/>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 xml:space="preserve">Месечна добавка за социална интеграция - </w:t>
      </w:r>
      <w:r w:rsidRPr="00BD5BB8">
        <w:rPr>
          <w:rFonts w:ascii="Times New Roman" w:eastAsia="Times New Roman" w:hAnsi="Times New Roman" w:cs="Times New Roman"/>
          <w:sz w:val="24"/>
          <w:szCs w:val="24"/>
          <w:lang w:eastAsia="bg-BG"/>
        </w:rPr>
        <w:t>тя е диференцирана и представлява сбор от парични средства, допълващи собствените доходи и е предназначена за покриване на допълнителни разходи за транспортни услуги, информационни и телекомуникационни услуги, обучение, балнеолечение и рехабилитационни услуги (ползва се и от придружителя на лицето, когато в ЕР на ТЕЛК/НЕЛК има определена чужда помощ), диетично хранене и лекарствени продукти, достъпна информация. Размерът на месечната добавка се определя като процент от гарантирания минимален доход (ГМД), определен от Министерския съвет, който за 2017 г. е 65 лв., а считано от 01.01.2018 г. е увеличен на 75 лв. През</w:t>
      </w:r>
      <w:r w:rsidRPr="00BD5BB8">
        <w:rPr>
          <w:rFonts w:ascii="Times New Roman" w:eastAsia="Times New Roman" w:hAnsi="Times New Roman" w:cs="Times New Roman"/>
          <w:b/>
          <w:sz w:val="24"/>
          <w:szCs w:val="24"/>
          <w:lang w:eastAsia="bg-BG"/>
        </w:rPr>
        <w:t xml:space="preserve"> </w:t>
      </w:r>
      <w:r w:rsidRPr="00BD5BB8">
        <w:rPr>
          <w:rFonts w:ascii="Times New Roman" w:eastAsia="Times New Roman" w:hAnsi="Times New Roman" w:cs="Times New Roman"/>
          <w:sz w:val="24"/>
          <w:szCs w:val="24"/>
          <w:lang w:eastAsia="bg-BG"/>
        </w:rPr>
        <w:t xml:space="preserve">2018 г. по реда на ППЗИХУ е оказана подкрепа на </w:t>
      </w:r>
      <w:r w:rsidRPr="00BD5BB8">
        <w:rPr>
          <w:rFonts w:ascii="Times New Roman" w:eastAsia="Times New Roman" w:hAnsi="Times New Roman" w:cs="Times New Roman"/>
          <w:b/>
          <w:sz w:val="24"/>
          <w:szCs w:val="24"/>
          <w:lang w:eastAsia="bg-BG"/>
        </w:rPr>
        <w:t>497 486</w:t>
      </w:r>
      <w:r w:rsidRPr="00BD5BB8">
        <w:rPr>
          <w:rFonts w:ascii="Times New Roman" w:eastAsia="Times New Roman" w:hAnsi="Times New Roman" w:cs="Times New Roman"/>
          <w:sz w:val="24"/>
          <w:szCs w:val="24"/>
          <w:lang w:eastAsia="bg-BG"/>
        </w:rPr>
        <w:t xml:space="preserve"> средномесечен</w:t>
      </w:r>
      <w:r w:rsidRPr="00BD5BB8">
        <w:rPr>
          <w:rFonts w:ascii="Times New Roman" w:eastAsia="Times New Roman" w:hAnsi="Times New Roman" w:cs="Times New Roman"/>
          <w:b/>
          <w:sz w:val="24"/>
          <w:szCs w:val="24"/>
          <w:lang w:eastAsia="bg-BG"/>
        </w:rPr>
        <w:t xml:space="preserve"> </w:t>
      </w:r>
      <w:r w:rsidRPr="00BD5BB8">
        <w:rPr>
          <w:rFonts w:ascii="Times New Roman" w:eastAsia="Times New Roman" w:hAnsi="Times New Roman" w:cs="Times New Roman"/>
          <w:sz w:val="24"/>
          <w:szCs w:val="24"/>
          <w:lang w:eastAsia="bg-BG"/>
        </w:rPr>
        <w:t>брой лица, а през 2017 г. техният средномесечен брой е 500 016.</w:t>
      </w:r>
    </w:p>
    <w:p w:rsidR="009A56A1" w:rsidRPr="00BD5BB8" w:rsidRDefault="009A56A1" w:rsidP="00E7186B">
      <w:pPr>
        <w:numPr>
          <w:ilvl w:val="0"/>
          <w:numId w:val="35"/>
        </w:numPr>
        <w:tabs>
          <w:tab w:val="left" w:pos="993"/>
        </w:tabs>
        <w:spacing w:after="0" w:line="240" w:lineRule="auto"/>
        <w:ind w:left="0" w:firstLine="567"/>
        <w:contextualSpacing/>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bCs/>
          <w:sz w:val="24"/>
          <w:szCs w:val="24"/>
          <w:lang w:eastAsia="bg-BG"/>
        </w:rPr>
        <w:t xml:space="preserve">Целеви помощи за изработване, покупка и ремонт на помощни средства, приспособления, съоръжения и/или медицински изделия (ПСПС и/или МИ) - </w:t>
      </w:r>
      <w:r w:rsidRPr="00BD5BB8">
        <w:rPr>
          <w:rFonts w:ascii="Times New Roman" w:eastAsia="Times New Roman" w:hAnsi="Times New Roman" w:cs="Times New Roman"/>
          <w:sz w:val="24"/>
          <w:szCs w:val="24"/>
          <w:lang w:eastAsia="bg-BG"/>
        </w:rPr>
        <w:t>изплащат се само за ПСПС и/или МИ, посочени в списъците по чл. 35г, ал. 1 от ЗИХУ, с изключение на медицинските изделия, които се заплащат напълно или частично от Националната здравноосигурителна каса. За 2018 г. на 8 075 средномесечен брой лица са изплатени суми за помощни средства, приспособления, съоръжения и/или медицински изделия, а през 2017 г. техният средномесечен брой е 10 476.</w:t>
      </w:r>
    </w:p>
    <w:p w:rsidR="009A56A1" w:rsidRPr="00BD5BB8" w:rsidRDefault="009A56A1" w:rsidP="00E7186B">
      <w:pPr>
        <w:numPr>
          <w:ilvl w:val="0"/>
          <w:numId w:val="35"/>
        </w:numPr>
        <w:tabs>
          <w:tab w:val="left" w:pos="993"/>
        </w:tabs>
        <w:spacing w:after="0" w:line="240" w:lineRule="auto"/>
        <w:ind w:left="0" w:firstLine="567"/>
        <w:contextualSpacing/>
        <w:jc w:val="both"/>
        <w:rPr>
          <w:rFonts w:ascii="Times New Roman" w:eastAsia="Times New Roman" w:hAnsi="Times New Roman" w:cs="Times New Roman"/>
          <w:b/>
          <w:bCs/>
          <w:sz w:val="24"/>
          <w:szCs w:val="24"/>
          <w:lang w:eastAsia="bg-BG"/>
        </w:rPr>
      </w:pPr>
      <w:r w:rsidRPr="00BD5BB8">
        <w:rPr>
          <w:rFonts w:ascii="Times New Roman" w:eastAsia="Times New Roman" w:hAnsi="Times New Roman" w:cs="Times New Roman"/>
          <w:b/>
          <w:sz w:val="24"/>
          <w:szCs w:val="24"/>
          <w:lang w:eastAsia="bg-BG"/>
        </w:rPr>
        <w:t>Целеви помощи за преустройство на жилище и покупка и приспособяване на лично моторно превозно средство</w:t>
      </w:r>
      <w:r w:rsidRPr="00BD5BB8">
        <w:rPr>
          <w:rFonts w:ascii="Times New Roman" w:eastAsia="Times New Roman" w:hAnsi="Times New Roman" w:cs="Times New Roman"/>
          <w:sz w:val="24"/>
          <w:szCs w:val="24"/>
          <w:lang w:eastAsia="bg-BG"/>
        </w:rPr>
        <w:t xml:space="preserve"> - през 2018 г. </w:t>
      </w:r>
      <w:r w:rsidRPr="00BD5BB8">
        <w:rPr>
          <w:rFonts w:ascii="Times New Roman" w:eastAsia="Times New Roman" w:hAnsi="Times New Roman" w:cs="Times New Roman"/>
          <w:b/>
          <w:sz w:val="24"/>
          <w:szCs w:val="24"/>
          <w:lang w:eastAsia="bg-BG"/>
        </w:rPr>
        <w:t xml:space="preserve">5 </w:t>
      </w:r>
      <w:r w:rsidRPr="00BD5BB8">
        <w:rPr>
          <w:rFonts w:ascii="Times New Roman" w:eastAsia="Times New Roman" w:hAnsi="Times New Roman" w:cs="Times New Roman"/>
          <w:sz w:val="24"/>
          <w:szCs w:val="24"/>
          <w:lang w:eastAsia="bg-BG"/>
        </w:rPr>
        <w:t xml:space="preserve">лица с увреждания са подпомогнати с целева помощ за покупка и приспособяване на </w:t>
      </w:r>
      <w:r w:rsidRPr="00BD5BB8">
        <w:rPr>
          <w:rFonts w:ascii="Times New Roman" w:eastAsia="Times New Roman" w:hAnsi="Times New Roman" w:cs="Times New Roman"/>
          <w:b/>
          <w:sz w:val="24"/>
          <w:szCs w:val="24"/>
          <w:lang w:eastAsia="bg-BG"/>
        </w:rPr>
        <w:t>лично</w:t>
      </w:r>
      <w:r w:rsidRPr="00BD5BB8">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b/>
          <w:sz w:val="24"/>
          <w:szCs w:val="24"/>
          <w:lang w:eastAsia="bg-BG"/>
        </w:rPr>
        <w:t>моторно превозно средство</w:t>
      </w:r>
      <w:r w:rsidRPr="00BD5BB8">
        <w:rPr>
          <w:rFonts w:ascii="Times New Roman" w:eastAsia="Times New Roman" w:hAnsi="Times New Roman" w:cs="Times New Roman"/>
          <w:sz w:val="24"/>
          <w:szCs w:val="24"/>
          <w:lang w:eastAsia="bg-BG"/>
        </w:rPr>
        <w:t xml:space="preserve">, а с целева помощ за </w:t>
      </w:r>
      <w:r w:rsidRPr="00BD5BB8">
        <w:rPr>
          <w:rFonts w:ascii="Times New Roman" w:eastAsia="Times New Roman" w:hAnsi="Times New Roman" w:cs="Times New Roman"/>
          <w:b/>
          <w:sz w:val="24"/>
          <w:szCs w:val="24"/>
          <w:lang w:eastAsia="bg-BG"/>
        </w:rPr>
        <w:t>преустройство на жилище</w:t>
      </w:r>
      <w:r w:rsidRPr="00BD5BB8">
        <w:rPr>
          <w:rFonts w:ascii="Times New Roman" w:eastAsia="Times New Roman" w:hAnsi="Times New Roman" w:cs="Times New Roman"/>
          <w:sz w:val="24"/>
          <w:szCs w:val="24"/>
          <w:lang w:eastAsia="bg-BG"/>
        </w:rPr>
        <w:t xml:space="preserve"> са подпомагнати </w:t>
      </w:r>
      <w:r w:rsidRPr="00BD5BB8">
        <w:rPr>
          <w:rFonts w:ascii="Times New Roman" w:eastAsia="Times New Roman" w:hAnsi="Times New Roman" w:cs="Times New Roman"/>
          <w:b/>
          <w:sz w:val="24"/>
          <w:szCs w:val="24"/>
          <w:lang w:eastAsia="bg-BG"/>
        </w:rPr>
        <w:t xml:space="preserve">7 </w:t>
      </w:r>
      <w:r w:rsidRPr="00BD5BB8">
        <w:rPr>
          <w:rFonts w:ascii="Times New Roman" w:eastAsia="Times New Roman" w:hAnsi="Times New Roman" w:cs="Times New Roman"/>
          <w:sz w:val="24"/>
          <w:szCs w:val="24"/>
          <w:lang w:eastAsia="bg-BG"/>
        </w:rPr>
        <w:t>лица с увреждания. През 2017 г. 3 лица с увреждания са подпомогнати с целева помощ за покупка и приспособяване на лично моторно превозно средство.</w:t>
      </w:r>
    </w:p>
    <w:p w:rsidR="009A56A1" w:rsidRPr="00BD5BB8" w:rsidRDefault="009A56A1" w:rsidP="00E7186B">
      <w:pPr>
        <w:numPr>
          <w:ilvl w:val="0"/>
          <w:numId w:val="35"/>
        </w:numPr>
        <w:tabs>
          <w:tab w:val="left" w:pos="993"/>
        </w:tabs>
        <w:spacing w:after="0" w:line="240" w:lineRule="auto"/>
        <w:ind w:left="0" w:firstLine="72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sz w:val="24"/>
          <w:szCs w:val="24"/>
          <w:lang w:eastAsia="bg-BG"/>
        </w:rPr>
        <w:t>В съответствие с разпоредбата на чл. 10в от Закона за пътищата, лицата с 50 и над 50 на сто намалена работоспособност или вид и степен на увреждане и лицата или семействата, отглеждащи деца с трайни увреждания до 18-годишна възраст и до завършване на средното образование, но не по-късно от 20-годишна възраст, се освобождават от заплащане на винетна такса за един лек автомобил – тяхна собственост или съпружеска имуществена общност, с обем на двигателя до 2 000 куб. см. и мощност до 117.64 kW (160 к.с.) по ред, определен с Наредба на министъра на транспорта, информационните технологии и съобщенията и министъра на труда и социалната политика. До 31.12.2018 г. чрез дирекциите „Социално подпомагане“ са предоставени 229 037 безплатни годишни винетни стикери, докато за 2017 г. техният брой е бил 218 835.</w:t>
      </w:r>
    </w:p>
    <w:p w:rsidR="009A56A1" w:rsidRPr="00BD5BB8" w:rsidRDefault="009A56A1" w:rsidP="009A56A1">
      <w:pPr>
        <w:tabs>
          <w:tab w:val="left" w:pos="567"/>
          <w:tab w:val="left" w:pos="993"/>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С </w:t>
      </w:r>
      <w:r w:rsidRPr="00BD5BB8">
        <w:rPr>
          <w:rFonts w:ascii="Times New Roman" w:hAnsi="Times New Roman" w:cs="Times New Roman"/>
          <w:b/>
          <w:sz w:val="24"/>
          <w:szCs w:val="24"/>
        </w:rPr>
        <w:t>измененията и допълнения</w:t>
      </w:r>
      <w:r w:rsidRPr="00BD5BB8">
        <w:rPr>
          <w:rFonts w:ascii="Times New Roman" w:hAnsi="Times New Roman" w:cs="Times New Roman"/>
          <w:sz w:val="24"/>
          <w:szCs w:val="24"/>
        </w:rPr>
        <w:t xml:space="preserve"> в Правилника за прилагане на Закона за интеграция на хората с увре</w:t>
      </w:r>
      <w:r w:rsidR="0057239B">
        <w:rPr>
          <w:rFonts w:ascii="Times New Roman" w:hAnsi="Times New Roman" w:cs="Times New Roman"/>
          <w:sz w:val="24"/>
          <w:szCs w:val="24"/>
        </w:rPr>
        <w:t>ждания (ППЗИХУ), приети с ПМС №</w:t>
      </w:r>
      <w:r w:rsidRPr="00BD5BB8">
        <w:rPr>
          <w:rFonts w:ascii="Times New Roman" w:hAnsi="Times New Roman" w:cs="Times New Roman"/>
          <w:sz w:val="24"/>
          <w:szCs w:val="24"/>
        </w:rPr>
        <w:t xml:space="preserve">60 от 23.04.2018 г., влезли в сила от </w:t>
      </w:r>
      <w:r w:rsidRPr="00BD5BB8">
        <w:rPr>
          <w:rFonts w:ascii="Times New Roman" w:hAnsi="Times New Roman" w:cs="Times New Roman"/>
          <w:b/>
          <w:sz w:val="24"/>
          <w:szCs w:val="24"/>
        </w:rPr>
        <w:t>01.07.2018 г</w:t>
      </w:r>
      <w:r w:rsidRPr="00BD5BB8">
        <w:rPr>
          <w:rFonts w:ascii="Times New Roman" w:hAnsi="Times New Roman" w:cs="Times New Roman"/>
          <w:sz w:val="24"/>
          <w:szCs w:val="24"/>
        </w:rPr>
        <w:t xml:space="preserve">., е променен </w:t>
      </w:r>
      <w:r w:rsidRPr="00BD5BB8">
        <w:rPr>
          <w:rFonts w:ascii="Times New Roman" w:hAnsi="Times New Roman" w:cs="Times New Roman"/>
          <w:b/>
          <w:sz w:val="24"/>
          <w:szCs w:val="24"/>
        </w:rPr>
        <w:t>механизмът на изплащане на ПСПСМИ</w:t>
      </w:r>
      <w:r w:rsidRPr="00BD5BB8">
        <w:rPr>
          <w:rFonts w:ascii="Times New Roman" w:hAnsi="Times New Roman" w:cs="Times New Roman"/>
          <w:sz w:val="24"/>
          <w:szCs w:val="24"/>
        </w:rPr>
        <w:t xml:space="preserve"> за хората с увреждания. Медицинските условия, експлоатационните срокове и необходимите медицински документи за ПСПСМИ, за които лицата ползват целевата п</w:t>
      </w:r>
      <w:r w:rsidR="0057239B">
        <w:rPr>
          <w:rFonts w:ascii="Times New Roman" w:hAnsi="Times New Roman" w:cs="Times New Roman"/>
          <w:sz w:val="24"/>
          <w:szCs w:val="24"/>
        </w:rPr>
        <w:t>омощ са посочени в Приложение №</w:t>
      </w:r>
      <w:r w:rsidRPr="00BD5BB8">
        <w:rPr>
          <w:rFonts w:ascii="Times New Roman" w:hAnsi="Times New Roman" w:cs="Times New Roman"/>
          <w:sz w:val="24"/>
          <w:szCs w:val="24"/>
        </w:rPr>
        <w:t xml:space="preserve">7 към чл. 40, ал. 1 от ППЗИХУ, като са променени някои от медицинските условия за отпускането им. </w:t>
      </w:r>
      <w:r w:rsidRPr="00BD5BB8">
        <w:rPr>
          <w:rFonts w:ascii="Times New Roman" w:hAnsi="Times New Roman" w:cs="Times New Roman"/>
          <w:b/>
          <w:sz w:val="24"/>
          <w:szCs w:val="24"/>
        </w:rPr>
        <w:t>Максималните размери</w:t>
      </w:r>
      <w:r w:rsidRPr="00BD5BB8">
        <w:rPr>
          <w:rFonts w:ascii="Times New Roman" w:hAnsi="Times New Roman" w:cs="Times New Roman"/>
          <w:sz w:val="24"/>
          <w:szCs w:val="24"/>
        </w:rPr>
        <w:t xml:space="preserve"> на целевите помощи са определени със </w:t>
      </w:r>
      <w:r w:rsidR="0057239B">
        <w:rPr>
          <w:rFonts w:ascii="Times New Roman" w:hAnsi="Times New Roman" w:cs="Times New Roman"/>
          <w:b/>
          <w:sz w:val="24"/>
          <w:szCs w:val="24"/>
        </w:rPr>
        <w:t>Заповед №</w:t>
      </w:r>
      <w:r w:rsidRPr="00BD5BB8">
        <w:rPr>
          <w:rFonts w:ascii="Times New Roman" w:hAnsi="Times New Roman" w:cs="Times New Roman"/>
          <w:b/>
          <w:sz w:val="24"/>
          <w:szCs w:val="24"/>
        </w:rPr>
        <w:t>РД01-508/19.06.2018</w:t>
      </w:r>
      <w:r w:rsidRPr="00BD5BB8">
        <w:rPr>
          <w:rFonts w:ascii="Times New Roman" w:hAnsi="Times New Roman" w:cs="Times New Roman"/>
          <w:sz w:val="24"/>
          <w:szCs w:val="24"/>
        </w:rPr>
        <w:t xml:space="preserve"> г. на министъра на труда и социалната политика за определяне на пределни размери (лимити) на помощите </w:t>
      </w:r>
      <w:r w:rsidRPr="00BD5BB8">
        <w:rPr>
          <w:rFonts w:ascii="Times New Roman" w:hAnsi="Times New Roman" w:cs="Times New Roman"/>
          <w:sz w:val="24"/>
          <w:szCs w:val="24"/>
        </w:rPr>
        <w:lastRenderedPageBreak/>
        <w:t xml:space="preserve">за изработване, покупка и ремонт на ПСПСМИ, публикувана в Държавен вестник, Бр. 54 от 29.06.2018 г., в </w:t>
      </w:r>
      <w:r w:rsidRPr="00BD5BB8">
        <w:rPr>
          <w:rFonts w:ascii="Times New Roman" w:hAnsi="Times New Roman" w:cs="Times New Roman"/>
          <w:b/>
          <w:sz w:val="24"/>
          <w:szCs w:val="24"/>
        </w:rPr>
        <w:t>сила от 01.07.2018</w:t>
      </w:r>
      <w:r w:rsidRPr="00BD5BB8">
        <w:rPr>
          <w:rFonts w:ascii="Times New Roman" w:hAnsi="Times New Roman" w:cs="Times New Roman"/>
          <w:sz w:val="24"/>
          <w:szCs w:val="24"/>
        </w:rPr>
        <w:t xml:space="preserve"> г.</w:t>
      </w:r>
    </w:p>
    <w:p w:rsidR="009A56A1" w:rsidRPr="00BD5BB8" w:rsidRDefault="009A56A1" w:rsidP="009A56A1">
      <w:pPr>
        <w:tabs>
          <w:tab w:val="left" w:pos="567"/>
          <w:tab w:val="left" w:pos="993"/>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r>
    </w:p>
    <w:p w:rsidR="009A56A1" w:rsidRPr="00BD5BB8" w:rsidRDefault="009A56A1" w:rsidP="009A56A1">
      <w:pPr>
        <w:tabs>
          <w:tab w:val="left" w:pos="5400"/>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 xml:space="preserve">Оперативна програма за храни и/или основно материално подпомагане </w:t>
      </w:r>
    </w:p>
    <w:p w:rsidR="009A56A1" w:rsidRPr="00BD5BB8" w:rsidRDefault="009A56A1" w:rsidP="009A56A1">
      <w:pPr>
        <w:tabs>
          <w:tab w:val="left" w:pos="5400"/>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 xml:space="preserve">по Фонда за европейско подпомагане на най-нуждаещите се лица </w:t>
      </w:r>
    </w:p>
    <w:p w:rsidR="009A56A1" w:rsidRPr="00BD5BB8" w:rsidRDefault="009A56A1" w:rsidP="009A56A1">
      <w:pPr>
        <w:tabs>
          <w:tab w:val="left" w:pos="5400"/>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(ОПХ ФЕПНЛ 2014-2020)</w:t>
      </w:r>
    </w:p>
    <w:p w:rsidR="009A56A1" w:rsidRPr="00BD5BB8" w:rsidRDefault="009A56A1" w:rsidP="009A56A1">
      <w:pPr>
        <w:tabs>
          <w:tab w:val="left" w:pos="5400"/>
        </w:tabs>
        <w:spacing w:after="0" w:line="240" w:lineRule="auto"/>
        <w:jc w:val="center"/>
        <w:rPr>
          <w:rFonts w:ascii="Times New Roman" w:hAnsi="Times New Roman" w:cs="Times New Roman"/>
          <w:b/>
          <w:sz w:val="24"/>
          <w:szCs w:val="24"/>
        </w:rPr>
      </w:pPr>
    </w:p>
    <w:p w:rsidR="009A56A1" w:rsidRPr="00BD5BB8" w:rsidRDefault="009A56A1" w:rsidP="009A56A1">
      <w:pPr>
        <w:spacing w:after="0" w:line="240" w:lineRule="auto"/>
        <w:ind w:firstLine="720"/>
        <w:jc w:val="both"/>
        <w:outlineLvl w:val="0"/>
        <w:rPr>
          <w:rFonts w:ascii="Times New Roman" w:hAnsi="Times New Roman" w:cs="Times New Roman"/>
          <w:sz w:val="24"/>
          <w:szCs w:val="24"/>
        </w:rPr>
      </w:pPr>
      <w:r w:rsidRPr="00BD5BB8">
        <w:rPr>
          <w:rFonts w:ascii="Times New Roman" w:hAnsi="Times New Roman" w:cs="Times New Roman"/>
          <w:sz w:val="24"/>
          <w:szCs w:val="24"/>
        </w:rPr>
        <w:t xml:space="preserve">Агенцията за социално подпомагане е определена за Управляващ орган (УО) на </w:t>
      </w:r>
      <w:r w:rsidRPr="00BD5BB8">
        <w:rPr>
          <w:rFonts w:ascii="Times New Roman" w:hAnsi="Times New Roman" w:cs="Times New Roman"/>
          <w:b/>
          <w:sz w:val="24"/>
          <w:szCs w:val="24"/>
        </w:rPr>
        <w:t>Оперативна програма за храни и/или основно материално подпомагане от Фонда за европейско подпомагане на най-нуждаещите се лица в България за периода 2014-2020 г</w:t>
      </w:r>
      <w:r w:rsidRPr="00BD5BB8">
        <w:rPr>
          <w:rFonts w:ascii="Times New Roman" w:hAnsi="Times New Roman" w:cs="Times New Roman"/>
          <w:sz w:val="24"/>
          <w:szCs w:val="24"/>
        </w:rPr>
        <w:t xml:space="preserve">., с решение на Министерски съвет (МС) от 08.09.2014 година. Оперативна програма е одобрена с Решение за изпълнение на Европейската комисия от 05.12.2014 година. Програмата допринася за постигане на Националната цел за намаляване на броя на живеещите в бедност с 260 000 души до 2020 г. в съответствие с целите на стратегия „Европа 2020“. В изпълнение на тази цел, програмата се насочва към лицата, живеещи в най-висока степен на бедност и социална изолация.  </w:t>
      </w:r>
    </w:p>
    <w:p w:rsidR="009A56A1" w:rsidRPr="00BD5BB8" w:rsidRDefault="009A56A1" w:rsidP="009A56A1">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b/>
          <w:sz w:val="24"/>
          <w:szCs w:val="24"/>
        </w:rPr>
        <w:t>Със средства от Програмата се реализира подпомагане с храни като основно материално лишение,</w:t>
      </w:r>
      <w:r w:rsidRPr="00BD5BB8">
        <w:rPr>
          <w:rFonts w:ascii="Times New Roman" w:hAnsi="Times New Roman" w:cs="Times New Roman"/>
          <w:sz w:val="24"/>
          <w:szCs w:val="24"/>
        </w:rPr>
        <w:t xml:space="preserve"> чрез следните типове операции: </w:t>
      </w:r>
      <w:r w:rsidRPr="00BD5BB8">
        <w:rPr>
          <w:rFonts w:ascii="Times New Roman" w:hAnsi="Times New Roman" w:cs="Times New Roman"/>
          <w:b/>
          <w:sz w:val="24"/>
          <w:szCs w:val="24"/>
        </w:rPr>
        <w:t>закупуване на хранителни продукти,</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предоставяне на индивидуални пакети хранителни продукти и осигуряване на топъл обяд.</w:t>
      </w:r>
      <w:r w:rsidRPr="00BD5BB8">
        <w:rPr>
          <w:rFonts w:ascii="Times New Roman" w:hAnsi="Times New Roman" w:cs="Times New Roman"/>
          <w:sz w:val="24"/>
          <w:szCs w:val="24"/>
        </w:rPr>
        <w:t xml:space="preserve"> </w:t>
      </w:r>
    </w:p>
    <w:p w:rsidR="009A56A1" w:rsidRPr="00BD5BB8" w:rsidRDefault="009A56A1" w:rsidP="009A56A1">
      <w:pPr>
        <w:spacing w:after="0" w:line="240" w:lineRule="auto"/>
        <w:ind w:firstLine="708"/>
        <w:jc w:val="both"/>
        <w:rPr>
          <w:rFonts w:ascii="Times New Roman" w:hAnsi="Times New Roman" w:cs="Times New Roman"/>
          <w:sz w:val="24"/>
          <w:szCs w:val="24"/>
        </w:rPr>
      </w:pPr>
    </w:p>
    <w:p w:rsidR="009A56A1" w:rsidRPr="00BD5BB8" w:rsidRDefault="009A56A1" w:rsidP="009A56A1">
      <w:pPr>
        <w:tabs>
          <w:tab w:val="left" w:pos="709"/>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ОПЕРАЦИЯ ТИП 1 „ЗАКУПУВАНЕ НА ХРАНИТЕЛНИ ПРОДУКТИ“.</w:t>
      </w:r>
    </w:p>
    <w:p w:rsidR="009A56A1" w:rsidRPr="00BD5BB8" w:rsidRDefault="009A56A1" w:rsidP="009A56A1">
      <w:pPr>
        <w:tabs>
          <w:tab w:val="left" w:pos="709"/>
        </w:tabs>
        <w:spacing w:after="0" w:line="240" w:lineRule="auto"/>
        <w:jc w:val="center"/>
        <w:rPr>
          <w:rFonts w:ascii="Times New Roman" w:hAnsi="Times New Roman" w:cs="Times New Roman"/>
          <w:b/>
          <w:sz w:val="24"/>
          <w:szCs w:val="24"/>
          <w:u w:val="single"/>
        </w:rPr>
      </w:pPr>
    </w:p>
    <w:p w:rsidR="009A56A1" w:rsidRPr="00BD5BB8" w:rsidRDefault="009A56A1" w:rsidP="009A56A1">
      <w:pPr>
        <w:tabs>
          <w:tab w:val="left" w:pos="567"/>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Операцията се реализира чрез процедура за директно предоставяне на безвъзмездна финансова помощ. Агенция за социално подпомагане реализира обществена поръчка за закупуване на хранителни продукти по реда на Закона за обществените поръчки (ЗОП). Съдържанието на пакетите се съгласува с Министерство на здравеопазването, като се отчита и мнението на крайните получатели на помощта. </w:t>
      </w:r>
      <w:r w:rsidRPr="00BD5BB8">
        <w:rPr>
          <w:rFonts w:ascii="Times New Roman" w:hAnsi="Times New Roman" w:cs="Times New Roman"/>
          <w:sz w:val="24"/>
          <w:szCs w:val="24"/>
        </w:rPr>
        <w:tab/>
        <w:t xml:space="preserve">Закупените хранителни продукти се доставят от избраните изпълнители в складовете на партньорска организация за раздаването им на представителите на целевите групи. В периода от 01.01.2018 до 31.12.2018 г. е </w:t>
      </w:r>
      <w:r w:rsidRPr="00BD5BB8">
        <w:rPr>
          <w:rFonts w:ascii="Times New Roman" w:hAnsi="Times New Roman" w:cs="Times New Roman"/>
          <w:b/>
          <w:sz w:val="24"/>
          <w:szCs w:val="24"/>
        </w:rPr>
        <w:t>приключило</w:t>
      </w:r>
      <w:r w:rsidRPr="00BD5BB8">
        <w:rPr>
          <w:rFonts w:ascii="Times New Roman" w:hAnsi="Times New Roman" w:cs="Times New Roman"/>
          <w:sz w:val="24"/>
          <w:szCs w:val="24"/>
        </w:rPr>
        <w:t xml:space="preserve"> изпълнението на Операция „Закупуване на хранителни продукти </w:t>
      </w:r>
      <w:r w:rsidR="0057239B" w:rsidRPr="0057239B">
        <w:rPr>
          <w:rFonts w:ascii="Times New Roman" w:hAnsi="Times New Roman" w:cs="Times New Roman"/>
          <w:sz w:val="24"/>
          <w:szCs w:val="24"/>
        </w:rPr>
        <w:t xml:space="preserve">– </w:t>
      </w:r>
      <w:r w:rsidRPr="00BD5BB8">
        <w:rPr>
          <w:rFonts w:ascii="Times New Roman" w:hAnsi="Times New Roman" w:cs="Times New Roman"/>
          <w:sz w:val="24"/>
          <w:szCs w:val="24"/>
        </w:rPr>
        <w:t xml:space="preserve">2016“ и </w:t>
      </w:r>
      <w:r w:rsidRPr="00BD5BB8">
        <w:rPr>
          <w:rFonts w:ascii="Times New Roman" w:hAnsi="Times New Roman" w:cs="Times New Roman"/>
          <w:b/>
          <w:sz w:val="24"/>
          <w:szCs w:val="24"/>
        </w:rPr>
        <w:t>се изпълнява</w:t>
      </w:r>
      <w:r w:rsidRPr="00BD5BB8">
        <w:rPr>
          <w:rFonts w:ascii="Times New Roman" w:hAnsi="Times New Roman" w:cs="Times New Roman"/>
          <w:sz w:val="24"/>
          <w:szCs w:val="24"/>
        </w:rPr>
        <w:t xml:space="preserve"> операция „Закупуване на хранителни продукти – 2017-2019“.</w:t>
      </w:r>
    </w:p>
    <w:p w:rsidR="009A56A1" w:rsidRPr="00BD5BB8" w:rsidRDefault="009A56A1" w:rsidP="009A56A1">
      <w:pPr>
        <w:tabs>
          <w:tab w:val="left" w:pos="567"/>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r>
    </w:p>
    <w:p w:rsidR="009A56A1" w:rsidRPr="00BD5BB8" w:rsidRDefault="009A56A1" w:rsidP="009A56A1">
      <w:pPr>
        <w:tabs>
          <w:tab w:val="left" w:pos="567"/>
          <w:tab w:val="left" w:pos="709"/>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ОПЕРАЦИЯ ТИП 2 “ПРЕДОСТАВЯНЕ НА ИНДИВИДУАЛНИ ПАКЕТИ ХРАНИТЕЛНИ ПРОДУКТИ“.</w:t>
      </w:r>
    </w:p>
    <w:p w:rsidR="009A56A1" w:rsidRPr="00BD5BB8" w:rsidRDefault="009A56A1" w:rsidP="009A56A1">
      <w:pPr>
        <w:tabs>
          <w:tab w:val="left" w:pos="702"/>
        </w:tabs>
        <w:spacing w:after="0" w:line="240" w:lineRule="auto"/>
        <w:jc w:val="center"/>
        <w:rPr>
          <w:rFonts w:ascii="Times New Roman" w:hAnsi="Times New Roman" w:cs="Times New Roman"/>
          <w:b/>
          <w:sz w:val="24"/>
          <w:szCs w:val="24"/>
          <w:u w:val="single"/>
        </w:rPr>
      </w:pPr>
    </w:p>
    <w:p w:rsidR="009A56A1" w:rsidRPr="00BD5BB8" w:rsidRDefault="009A56A1" w:rsidP="009A56A1">
      <w:pPr>
        <w:tabs>
          <w:tab w:val="left" w:pos="709"/>
        </w:tabs>
        <w:spacing w:after="0" w:line="240" w:lineRule="auto"/>
        <w:jc w:val="both"/>
        <w:rPr>
          <w:rFonts w:ascii="Times New Roman" w:hAnsi="Times New Roman" w:cs="Times New Roman"/>
          <w:b/>
          <w:sz w:val="24"/>
          <w:szCs w:val="24"/>
        </w:rPr>
      </w:pPr>
      <w:r w:rsidRPr="00BD5BB8">
        <w:rPr>
          <w:rFonts w:ascii="Times New Roman" w:hAnsi="Times New Roman" w:cs="Times New Roman"/>
          <w:sz w:val="24"/>
          <w:szCs w:val="24"/>
        </w:rPr>
        <w:tab/>
        <w:t xml:space="preserve">Операцията се реализира чрез процедура за подбор на партньорска организация, която да раздава закупените по Операция тип 1 хранителни продукти на лицата от целевите групи. Партньорската организация предоставя пакетите хранителни продукти в съчетание със съпътстващи мерки, изразени в информиране и консултиране на представителите на целевите групи за възможностите им за социално включване, получаване на обратна връзка от крайните потребители за удовлетвореността от предоставената помощ. В периода от 01.01.2018 до 31.12.2018 г. е </w:t>
      </w:r>
      <w:r w:rsidRPr="00BD5BB8">
        <w:rPr>
          <w:rFonts w:ascii="Times New Roman" w:hAnsi="Times New Roman" w:cs="Times New Roman"/>
          <w:b/>
          <w:sz w:val="24"/>
          <w:szCs w:val="24"/>
        </w:rPr>
        <w:t>приключило изпълнението</w:t>
      </w:r>
      <w:r w:rsidRPr="00BD5BB8">
        <w:rPr>
          <w:rFonts w:ascii="Times New Roman" w:hAnsi="Times New Roman" w:cs="Times New Roman"/>
          <w:sz w:val="24"/>
          <w:szCs w:val="24"/>
        </w:rPr>
        <w:t xml:space="preserve"> на Операция „Предоставяне на индивидуални пакети хранителни продукти – 2016 г.“ и </w:t>
      </w:r>
      <w:r w:rsidRPr="00BD5BB8">
        <w:rPr>
          <w:rFonts w:ascii="Times New Roman" w:hAnsi="Times New Roman" w:cs="Times New Roman"/>
          <w:b/>
          <w:sz w:val="24"/>
          <w:szCs w:val="24"/>
        </w:rPr>
        <w:t>се изпълнява</w:t>
      </w:r>
      <w:r w:rsidRPr="00BD5BB8">
        <w:rPr>
          <w:rFonts w:ascii="Times New Roman" w:hAnsi="Times New Roman" w:cs="Times New Roman"/>
          <w:sz w:val="24"/>
          <w:szCs w:val="24"/>
        </w:rPr>
        <w:t xml:space="preserve">  операция „Предоставяне на индивидуални пакети хранителни продукти – 2017-2019“.</w:t>
      </w:r>
    </w:p>
    <w:p w:rsidR="009A56A1" w:rsidRPr="00BD5BB8" w:rsidRDefault="009A56A1" w:rsidP="009A56A1">
      <w:pPr>
        <w:tabs>
          <w:tab w:val="left" w:pos="709"/>
        </w:tabs>
        <w:spacing w:after="0" w:line="240" w:lineRule="auto"/>
        <w:jc w:val="center"/>
        <w:rPr>
          <w:rFonts w:ascii="Times New Roman" w:hAnsi="Times New Roman" w:cs="Times New Roman"/>
          <w:sz w:val="24"/>
          <w:szCs w:val="24"/>
        </w:rPr>
      </w:pPr>
    </w:p>
    <w:p w:rsidR="009A56A1" w:rsidRPr="00BD5BB8" w:rsidRDefault="009A56A1" w:rsidP="009A56A1">
      <w:pPr>
        <w:tabs>
          <w:tab w:val="left" w:pos="709"/>
        </w:tabs>
        <w:spacing w:after="0" w:line="240" w:lineRule="auto"/>
        <w:jc w:val="center"/>
        <w:rPr>
          <w:rFonts w:ascii="Times New Roman" w:hAnsi="Times New Roman" w:cs="Times New Roman"/>
          <w:sz w:val="24"/>
          <w:szCs w:val="24"/>
        </w:rPr>
      </w:pPr>
      <w:r w:rsidRPr="00BD5BB8">
        <w:rPr>
          <w:rFonts w:ascii="Times New Roman" w:hAnsi="Times New Roman" w:cs="Times New Roman"/>
          <w:b/>
          <w:sz w:val="24"/>
          <w:szCs w:val="24"/>
        </w:rPr>
        <w:lastRenderedPageBreak/>
        <w:t>Напредък по Операция тип 2 „Предоставяне на индивидуални пакети хранителни продукти – 2016“:</w:t>
      </w: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b/>
          <w:sz w:val="24"/>
          <w:szCs w:val="24"/>
        </w:rPr>
        <w:tab/>
      </w:r>
      <w:r w:rsidRPr="00BD5BB8">
        <w:rPr>
          <w:rFonts w:ascii="Times New Roman" w:hAnsi="Times New Roman" w:cs="Times New Roman"/>
          <w:sz w:val="24"/>
          <w:szCs w:val="24"/>
        </w:rPr>
        <w:t xml:space="preserve">Избрана е партньорска организация - Сдружение „Български червен кръст“ (БЧК), с която е сключен договор за предоставяне на безвъзмездна финансова помощ </w:t>
      </w:r>
      <w:r w:rsidRPr="00BD5BB8">
        <w:rPr>
          <w:rFonts w:ascii="Times New Roman" w:hAnsi="Times New Roman" w:cs="Times New Roman"/>
          <w:b/>
          <w:sz w:val="24"/>
          <w:szCs w:val="24"/>
        </w:rPr>
        <w:t>на стойност 4 822 522 лева.</w:t>
      </w:r>
      <w:r w:rsidRPr="00BD5BB8">
        <w:rPr>
          <w:rFonts w:ascii="Times New Roman" w:hAnsi="Times New Roman" w:cs="Times New Roman"/>
          <w:sz w:val="24"/>
          <w:szCs w:val="24"/>
        </w:rPr>
        <w:t xml:space="preserve">  Към 31.12.2018 г. е </w:t>
      </w:r>
      <w:r w:rsidRPr="00BD5BB8">
        <w:rPr>
          <w:rFonts w:ascii="Times New Roman" w:hAnsi="Times New Roman" w:cs="Times New Roman"/>
          <w:b/>
          <w:sz w:val="24"/>
          <w:szCs w:val="24"/>
        </w:rPr>
        <w:t>приключило изпълнението</w:t>
      </w:r>
      <w:r w:rsidRPr="00BD5BB8">
        <w:rPr>
          <w:rFonts w:ascii="Times New Roman" w:hAnsi="Times New Roman" w:cs="Times New Roman"/>
          <w:sz w:val="24"/>
          <w:szCs w:val="24"/>
        </w:rPr>
        <w:t xml:space="preserve"> на операцията, като </w:t>
      </w:r>
      <w:r w:rsidRPr="00BD5BB8">
        <w:rPr>
          <w:rFonts w:ascii="Times New Roman" w:hAnsi="Times New Roman" w:cs="Times New Roman"/>
          <w:b/>
          <w:sz w:val="24"/>
          <w:szCs w:val="24"/>
        </w:rPr>
        <w:t>общо бяха падпомогнати</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 xml:space="preserve">330 873 лица и семейства </w:t>
      </w:r>
      <w:r w:rsidRPr="00BD5BB8">
        <w:rPr>
          <w:rFonts w:ascii="Times New Roman" w:hAnsi="Times New Roman" w:cs="Times New Roman"/>
          <w:sz w:val="24"/>
          <w:szCs w:val="24"/>
        </w:rPr>
        <w:t xml:space="preserve">в крайна бедност. Пакетите съдържат основни хранителни продукти, които се влагат за приготвяне на храна за цялото семейство. В тази връзка УО предприе мерки за идентифициране на реалния брой лица, до които достига помощта по програмата. Разработен бе „Механизъм за идентифициране и отчитане на най-нуждаещите се лица - целева група по Операция тип 2 „Предоставяне на индивидуални пакети хранителни продукти“ на ОПХ ФЕПНЛ“. Чрез него се преброиха и членовете на семействата на физическите получатели на помощта. В резултат е отчетено, че предоставените пакети с храни по Оперативната програма са достигнали до </w:t>
      </w:r>
      <w:r w:rsidRPr="00BD5BB8">
        <w:rPr>
          <w:rFonts w:ascii="Times New Roman" w:hAnsi="Times New Roman" w:cs="Times New Roman"/>
          <w:b/>
          <w:sz w:val="24"/>
          <w:szCs w:val="24"/>
        </w:rPr>
        <w:t>579 289</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 xml:space="preserve">лица. </w:t>
      </w:r>
      <w:r w:rsidRPr="00BD5BB8">
        <w:rPr>
          <w:rFonts w:ascii="Times New Roman" w:hAnsi="Times New Roman" w:cs="Times New Roman"/>
          <w:sz w:val="24"/>
          <w:szCs w:val="24"/>
        </w:rPr>
        <w:t>В допълнение към предоставянето на индивидуални пакети хранителни продукти партньорската организация реализира и съпътстващи мерки, които се изразяват в индивидуално или групово консултиране на представителите на целевите групи по различни теми.</w:t>
      </w:r>
    </w:p>
    <w:p w:rsidR="009A56A1" w:rsidRPr="00BD5BB8" w:rsidRDefault="009A56A1" w:rsidP="009A56A1">
      <w:pPr>
        <w:tabs>
          <w:tab w:val="left" w:pos="709"/>
        </w:tabs>
        <w:spacing w:after="0" w:line="240" w:lineRule="auto"/>
        <w:jc w:val="both"/>
        <w:rPr>
          <w:rFonts w:ascii="Times New Roman" w:hAnsi="Times New Roman" w:cs="Times New Roman"/>
          <w:b/>
          <w:sz w:val="24"/>
          <w:szCs w:val="24"/>
        </w:rPr>
      </w:pPr>
    </w:p>
    <w:p w:rsidR="009A56A1" w:rsidRPr="00BD5BB8" w:rsidRDefault="009A56A1" w:rsidP="009A56A1">
      <w:pPr>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Напредък по Операция тип 2 „Предоставяне на индивидуални пакети хранителни продукти 2017-2019":</w:t>
      </w:r>
    </w:p>
    <w:p w:rsidR="009A56A1" w:rsidRPr="00BD5BB8" w:rsidRDefault="009A56A1" w:rsidP="009A56A1">
      <w:pPr>
        <w:tabs>
          <w:tab w:val="left" w:pos="709"/>
        </w:tabs>
        <w:spacing w:after="0" w:line="240" w:lineRule="auto"/>
        <w:jc w:val="center"/>
        <w:rPr>
          <w:rFonts w:ascii="Times New Roman" w:hAnsi="Times New Roman" w:cs="Times New Roman"/>
          <w:sz w:val="24"/>
          <w:szCs w:val="24"/>
        </w:rPr>
      </w:pP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На 17.04.2018 г. бе </w:t>
      </w:r>
      <w:r w:rsidRPr="00BD5BB8">
        <w:rPr>
          <w:rFonts w:ascii="Times New Roman" w:hAnsi="Times New Roman" w:cs="Times New Roman"/>
          <w:b/>
          <w:sz w:val="24"/>
          <w:szCs w:val="24"/>
        </w:rPr>
        <w:t>обявена процедура</w:t>
      </w:r>
      <w:r w:rsidRPr="00BD5BB8">
        <w:rPr>
          <w:rFonts w:ascii="Times New Roman" w:hAnsi="Times New Roman" w:cs="Times New Roman"/>
          <w:sz w:val="24"/>
          <w:szCs w:val="24"/>
        </w:rPr>
        <w:t xml:space="preserve"> за предоставяне на БФП чрез подбор по операция тип 2: BG05FMOP001-2.003 „Предоставяне на индивидуални пакети хранителни продукти 2017-2019". Беше избрана партньорска организация - Сдружение „Български червен кръст“ (БЧК), с която на 21.06.2018 г. е сключен договор на стойност </w:t>
      </w:r>
      <w:r w:rsidRPr="00BD5BB8">
        <w:rPr>
          <w:rFonts w:ascii="Times New Roman" w:hAnsi="Times New Roman" w:cs="Times New Roman"/>
          <w:b/>
          <w:sz w:val="24"/>
          <w:szCs w:val="24"/>
        </w:rPr>
        <w:t>5 004</w:t>
      </w:r>
      <w:r w:rsidR="0057239B">
        <w:rPr>
          <w:rFonts w:ascii="Times New Roman" w:hAnsi="Times New Roman" w:cs="Times New Roman"/>
          <w:b/>
          <w:sz w:val="24"/>
          <w:szCs w:val="24"/>
        </w:rPr>
        <w:t> </w:t>
      </w:r>
      <w:r w:rsidRPr="00BD5BB8">
        <w:rPr>
          <w:rFonts w:ascii="Times New Roman" w:hAnsi="Times New Roman" w:cs="Times New Roman"/>
          <w:b/>
          <w:sz w:val="24"/>
          <w:szCs w:val="24"/>
        </w:rPr>
        <w:t>606</w:t>
      </w:r>
      <w:r w:rsidR="0057239B">
        <w:rPr>
          <w:rFonts w:ascii="Times New Roman" w:hAnsi="Times New Roman" w:cs="Times New Roman"/>
          <w:b/>
          <w:sz w:val="24"/>
          <w:szCs w:val="24"/>
        </w:rPr>
        <w:t>.</w:t>
      </w:r>
      <w:r w:rsidRPr="00BD5BB8">
        <w:rPr>
          <w:rFonts w:ascii="Times New Roman" w:hAnsi="Times New Roman" w:cs="Times New Roman"/>
          <w:b/>
          <w:sz w:val="24"/>
          <w:szCs w:val="24"/>
        </w:rPr>
        <w:t>18</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лева</w:t>
      </w:r>
      <w:r w:rsidRPr="00BD5BB8">
        <w:rPr>
          <w:rFonts w:ascii="Times New Roman" w:hAnsi="Times New Roman" w:cs="Times New Roman"/>
          <w:sz w:val="24"/>
          <w:szCs w:val="24"/>
        </w:rPr>
        <w:t xml:space="preserve">. По силата на сключения договор, партньорската организация ще раздава хранителните продукти, които се закупуват по Операция тип 1 „Закупуване на хранителни продукти - 2017-2019“. </w:t>
      </w:r>
      <w:r w:rsidRPr="00BD5BB8">
        <w:rPr>
          <w:rFonts w:ascii="Times New Roman" w:hAnsi="Times New Roman" w:cs="Times New Roman"/>
          <w:b/>
          <w:sz w:val="24"/>
          <w:szCs w:val="24"/>
        </w:rPr>
        <w:t>Предоставянето на индивидуалните пакети с хранителни продукти</w:t>
      </w:r>
      <w:r w:rsidRPr="00BD5BB8">
        <w:rPr>
          <w:rFonts w:ascii="Times New Roman" w:hAnsi="Times New Roman" w:cs="Times New Roman"/>
          <w:sz w:val="24"/>
          <w:szCs w:val="24"/>
        </w:rPr>
        <w:t xml:space="preserve"> </w:t>
      </w:r>
      <w:r w:rsidRPr="00BD5BB8">
        <w:rPr>
          <w:rFonts w:ascii="Times New Roman" w:hAnsi="Times New Roman" w:cs="Times New Roman"/>
          <w:b/>
          <w:sz w:val="24"/>
          <w:szCs w:val="24"/>
        </w:rPr>
        <w:t xml:space="preserve">стартира на 06.12.2018 </w:t>
      </w:r>
      <w:r w:rsidRPr="00BD5BB8">
        <w:rPr>
          <w:rFonts w:ascii="Times New Roman" w:hAnsi="Times New Roman" w:cs="Times New Roman"/>
          <w:sz w:val="24"/>
          <w:szCs w:val="24"/>
        </w:rPr>
        <w:t xml:space="preserve">година. Процесът продължи и през месеците януари и февруари 2019 г., съгласно предварително изготвен график от партньорската организация. Потребителите получават пакет, в който са включени </w:t>
      </w:r>
      <w:r w:rsidRPr="00BD5BB8">
        <w:rPr>
          <w:rFonts w:ascii="Times New Roman" w:hAnsi="Times New Roman" w:cs="Times New Roman"/>
          <w:b/>
          <w:sz w:val="24"/>
          <w:szCs w:val="24"/>
        </w:rPr>
        <w:t>16 вида хранителни продукти</w:t>
      </w:r>
      <w:r w:rsidRPr="00BD5BB8">
        <w:rPr>
          <w:rFonts w:ascii="Times New Roman" w:hAnsi="Times New Roman" w:cs="Times New Roman"/>
          <w:sz w:val="24"/>
          <w:szCs w:val="24"/>
        </w:rPr>
        <w:t xml:space="preserve"> - ориз, спагети, лютеница, зелен фасул, домати (стерилизирани), грах, гювеч, конфитюр, говеждо в собствен сос, кюфтета в бял сос, пиле фрикасе, рибни консерви, зрял боб, леща, захар и олио, </w:t>
      </w:r>
      <w:r w:rsidRPr="00BD5BB8">
        <w:rPr>
          <w:rFonts w:ascii="Times New Roman" w:hAnsi="Times New Roman" w:cs="Times New Roman"/>
          <w:b/>
          <w:sz w:val="24"/>
          <w:szCs w:val="24"/>
        </w:rPr>
        <w:t>с общо тегло 24.07 кг и стойност 53.10 лева.</w:t>
      </w:r>
      <w:r w:rsidRPr="00BD5BB8">
        <w:rPr>
          <w:rFonts w:ascii="Times New Roman" w:hAnsi="Times New Roman" w:cs="Times New Roman"/>
          <w:sz w:val="24"/>
          <w:szCs w:val="24"/>
        </w:rPr>
        <w:t xml:space="preserve"> Помощта е предназначена за </w:t>
      </w:r>
      <w:r w:rsidRPr="00BD5BB8">
        <w:rPr>
          <w:rFonts w:ascii="Times New Roman" w:hAnsi="Times New Roman" w:cs="Times New Roman"/>
          <w:b/>
          <w:sz w:val="24"/>
          <w:szCs w:val="24"/>
        </w:rPr>
        <w:t>над 298 000 лица и семействата</w:t>
      </w:r>
      <w:r w:rsidRPr="00BD5BB8">
        <w:rPr>
          <w:rFonts w:ascii="Times New Roman" w:hAnsi="Times New Roman" w:cs="Times New Roman"/>
          <w:sz w:val="24"/>
          <w:szCs w:val="24"/>
        </w:rPr>
        <w:t xml:space="preserve"> от основната целева група, определени според изискванията, разписани в Наредба №РД-07-1 от 04.04.2016 г. за реда и условията за определяне на целевите групи по ОПХ.</w:t>
      </w: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p>
    <w:p w:rsidR="009A56A1" w:rsidRPr="00BD5BB8" w:rsidRDefault="009A56A1" w:rsidP="009A56A1">
      <w:pPr>
        <w:tabs>
          <w:tab w:val="left" w:pos="702"/>
        </w:tabs>
        <w:spacing w:after="0" w:line="240" w:lineRule="auto"/>
        <w:jc w:val="center"/>
        <w:rPr>
          <w:rFonts w:ascii="Times New Roman" w:hAnsi="Times New Roman" w:cs="Times New Roman"/>
          <w:b/>
          <w:sz w:val="24"/>
          <w:szCs w:val="24"/>
        </w:rPr>
      </w:pPr>
      <w:r w:rsidRPr="00BD5BB8">
        <w:rPr>
          <w:rFonts w:ascii="Times New Roman" w:hAnsi="Times New Roman" w:cs="Times New Roman"/>
          <w:b/>
          <w:sz w:val="24"/>
          <w:szCs w:val="24"/>
        </w:rPr>
        <w:t>ОПЕРАЦИЯ ТИП 3 – „ОСИГУРЯВАНЕ НА ТОПЪЛ ОБЯД“.</w:t>
      </w: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Съгласно Оперативната програма, операция тип 3 се реализира в условията на допълняемост с действащата национална програма за подпомагане на обществените трапезарии, финансирана със средства от държавния бюджет чрез фонд „Социална закрила“.  Допустимите кандидати са общини и райони на общини на територията на страната. Безвъзмездната финансова помощ за реализиране на дейността се предоставя чрез процедура за директно предоставяне. През 2018 г. в процес на изпълнение е </w:t>
      </w:r>
      <w:r w:rsidRPr="00BD5BB8">
        <w:rPr>
          <w:rFonts w:ascii="Times New Roman" w:hAnsi="Times New Roman" w:cs="Times New Roman"/>
          <w:b/>
          <w:sz w:val="24"/>
          <w:szCs w:val="24"/>
        </w:rPr>
        <w:t>операция „Осигуряване на топъл обяд 2016-2020“</w:t>
      </w:r>
      <w:r w:rsidRPr="00BD5BB8">
        <w:rPr>
          <w:rFonts w:ascii="Times New Roman" w:hAnsi="Times New Roman" w:cs="Times New Roman"/>
          <w:sz w:val="24"/>
          <w:szCs w:val="24"/>
        </w:rPr>
        <w:t xml:space="preserve">, която беше обявена на 25.04.2016 </w:t>
      </w:r>
      <w:r w:rsidRPr="00BD5BB8">
        <w:rPr>
          <w:rFonts w:ascii="Times New Roman" w:hAnsi="Times New Roman" w:cs="Times New Roman"/>
          <w:sz w:val="24"/>
          <w:szCs w:val="24"/>
        </w:rPr>
        <w:lastRenderedPageBreak/>
        <w:t xml:space="preserve">година. Процедурата е отворена за кандидатстване до 31.01.2019 г., като дейностите по нея на този етап е предвидено да се изпълняват до 30.04.2020 година. </w:t>
      </w: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От обявяването на операцията до 31.12.2018 г. са сключени </w:t>
      </w:r>
      <w:r w:rsidRPr="00BD5BB8">
        <w:rPr>
          <w:rFonts w:ascii="Times New Roman" w:hAnsi="Times New Roman" w:cs="Times New Roman"/>
          <w:b/>
          <w:sz w:val="24"/>
          <w:szCs w:val="24"/>
        </w:rPr>
        <w:t xml:space="preserve">общо 223 договора, като към момента действащи са 209 договора. </w:t>
      </w:r>
      <w:r w:rsidRPr="00BD5BB8">
        <w:rPr>
          <w:rFonts w:ascii="Times New Roman" w:hAnsi="Times New Roman" w:cs="Times New Roman"/>
          <w:sz w:val="24"/>
          <w:szCs w:val="24"/>
        </w:rPr>
        <w:t xml:space="preserve">Към 31.12.2018 г. топъл обяд се предоставя на </w:t>
      </w:r>
      <w:r w:rsidRPr="00BD5BB8">
        <w:rPr>
          <w:rFonts w:ascii="Times New Roman" w:hAnsi="Times New Roman" w:cs="Times New Roman"/>
          <w:b/>
          <w:sz w:val="24"/>
          <w:szCs w:val="24"/>
        </w:rPr>
        <w:t>50 914 потребители</w:t>
      </w:r>
      <w:r w:rsidRPr="00BD5BB8">
        <w:rPr>
          <w:rFonts w:ascii="Times New Roman" w:hAnsi="Times New Roman" w:cs="Times New Roman"/>
          <w:sz w:val="24"/>
          <w:szCs w:val="24"/>
        </w:rPr>
        <w:t xml:space="preserve"> от основните целеви групи по Наредба № РД-07-1 от 4 април 2016 г. в </w:t>
      </w:r>
      <w:r w:rsidRPr="00BD5BB8">
        <w:rPr>
          <w:rFonts w:ascii="Times New Roman" w:hAnsi="Times New Roman" w:cs="Times New Roman"/>
          <w:b/>
          <w:sz w:val="24"/>
          <w:szCs w:val="24"/>
        </w:rPr>
        <w:t>276 трапезарии</w:t>
      </w:r>
      <w:r w:rsidRPr="00BD5BB8">
        <w:rPr>
          <w:rFonts w:ascii="Times New Roman" w:hAnsi="Times New Roman" w:cs="Times New Roman"/>
          <w:sz w:val="24"/>
          <w:szCs w:val="24"/>
        </w:rPr>
        <w:t>.</w:t>
      </w:r>
    </w:p>
    <w:p w:rsidR="009A56A1" w:rsidRPr="00BD5BB8" w:rsidRDefault="009A56A1" w:rsidP="009A56A1">
      <w:pPr>
        <w:tabs>
          <w:tab w:val="left" w:pos="709"/>
        </w:tabs>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ab/>
        <w:t xml:space="preserve">Успоредно с предоставянето на топъл обяд на потребителите се оказва подкрепа и чрез предоставянето </w:t>
      </w:r>
      <w:r w:rsidRPr="00BD5BB8">
        <w:rPr>
          <w:rFonts w:ascii="Times New Roman" w:hAnsi="Times New Roman" w:cs="Times New Roman"/>
          <w:b/>
          <w:sz w:val="24"/>
          <w:szCs w:val="24"/>
        </w:rPr>
        <w:t>на съпътстващи мерки</w:t>
      </w:r>
      <w:r w:rsidRPr="00BD5BB8">
        <w:rPr>
          <w:rFonts w:ascii="Times New Roman" w:hAnsi="Times New Roman" w:cs="Times New Roman"/>
          <w:sz w:val="24"/>
          <w:szCs w:val="24"/>
        </w:rPr>
        <w:t xml:space="preserve">. През 2018 г. се отчита значителен ръст на обхванатите лица, разширен обхват и многообразие  на реално изпълняваните съпътстващи мерки, фокусирани върху специфичните потребности, както на конкретните целеви групи, така и на индивидуалната необходимост от подкрепа. </w:t>
      </w:r>
    </w:p>
    <w:p w:rsidR="009A56A1" w:rsidRPr="00BD5BB8" w:rsidRDefault="009A56A1" w:rsidP="009A56A1">
      <w:pPr>
        <w:tabs>
          <w:tab w:val="left" w:pos="0"/>
        </w:tabs>
        <w:spacing w:after="0" w:line="240" w:lineRule="auto"/>
        <w:jc w:val="both"/>
        <w:rPr>
          <w:rFonts w:ascii="Times New Roman" w:hAnsi="Times New Roman" w:cs="Times New Roman"/>
          <w:sz w:val="24"/>
          <w:szCs w:val="24"/>
        </w:rPr>
      </w:pPr>
    </w:p>
    <w:p w:rsidR="009A56A1" w:rsidRPr="00BD5BB8" w:rsidRDefault="009A56A1" w:rsidP="009A56A1">
      <w:pPr>
        <w:tabs>
          <w:tab w:val="left" w:pos="0"/>
        </w:tabs>
        <w:spacing w:after="0" w:line="240" w:lineRule="auto"/>
        <w:jc w:val="center"/>
        <w:rPr>
          <w:rFonts w:ascii="Times New Roman" w:hAnsi="Times New Roman" w:cs="Times New Roman"/>
          <w:sz w:val="24"/>
          <w:szCs w:val="24"/>
        </w:rPr>
      </w:pPr>
      <w:r w:rsidRPr="00BD5BB8">
        <w:rPr>
          <w:rFonts w:ascii="Times New Roman" w:hAnsi="Times New Roman" w:cs="Times New Roman"/>
          <w:noProof/>
          <w:sz w:val="20"/>
          <w:szCs w:val="20"/>
          <w:lang w:eastAsia="bg-BG"/>
        </w:rPr>
        <w:drawing>
          <wp:inline distT="0" distB="0" distL="0" distR="0" wp14:anchorId="64517DE6" wp14:editId="2557D213">
            <wp:extent cx="2838450" cy="2305050"/>
            <wp:effectExtent l="0" t="0" r="19050" b="1905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BD5BB8">
        <w:rPr>
          <w:rFonts w:ascii="Times New Roman" w:hAnsi="Times New Roman" w:cs="Times New Roman"/>
          <w:sz w:val="24"/>
          <w:szCs w:val="24"/>
        </w:rPr>
        <w:t xml:space="preserve">  </w:t>
      </w:r>
      <w:r w:rsidRPr="00BD5BB8">
        <w:rPr>
          <w:rFonts w:ascii="Times New Roman" w:hAnsi="Times New Roman" w:cs="Times New Roman"/>
          <w:noProof/>
          <w:sz w:val="20"/>
          <w:szCs w:val="20"/>
          <w:lang w:eastAsia="bg-BG"/>
        </w:rPr>
        <w:drawing>
          <wp:inline distT="0" distB="0" distL="0" distR="0" wp14:anchorId="3522DD7F" wp14:editId="15982CA1">
            <wp:extent cx="2752725" cy="2295525"/>
            <wp:effectExtent l="0" t="0" r="9525" b="9525"/>
            <wp:docPr id="6"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A56A1" w:rsidRPr="00BD5BB8" w:rsidRDefault="009A56A1" w:rsidP="009A56A1">
      <w:pPr>
        <w:tabs>
          <w:tab w:val="left" w:pos="709"/>
        </w:tabs>
        <w:spacing w:after="0" w:line="240" w:lineRule="auto"/>
        <w:jc w:val="center"/>
        <w:rPr>
          <w:rFonts w:ascii="Times New Roman" w:hAnsi="Times New Roman" w:cs="Times New Roman"/>
          <w:b/>
          <w:bCs/>
          <w:sz w:val="24"/>
          <w:szCs w:val="24"/>
        </w:rPr>
      </w:pPr>
    </w:p>
    <w:p w:rsidR="005F2097" w:rsidRPr="00BD5BB8" w:rsidRDefault="005F2097" w:rsidP="005F2097">
      <w:pPr>
        <w:tabs>
          <w:tab w:val="left" w:pos="709"/>
        </w:tabs>
        <w:spacing w:after="0" w:line="240" w:lineRule="auto"/>
        <w:jc w:val="both"/>
        <w:rPr>
          <w:rFonts w:ascii="Times New Roman" w:hAnsi="Times New Roman" w:cs="Times New Roman"/>
          <w:sz w:val="24"/>
          <w:szCs w:val="24"/>
        </w:rPr>
      </w:pPr>
    </w:p>
    <w:p w:rsidR="005F2097" w:rsidRPr="00BD5BB8" w:rsidRDefault="005F2097" w:rsidP="005F2097">
      <w:pPr>
        <w:spacing w:after="0" w:line="240" w:lineRule="auto"/>
        <w:jc w:val="center"/>
        <w:rPr>
          <w:rFonts w:ascii="Times New Roman" w:hAnsi="Times New Roman" w:cs="Times New Roman"/>
          <w:b/>
          <w:caps/>
          <w:color w:val="C00000"/>
          <w:sz w:val="24"/>
          <w:szCs w:val="24"/>
        </w:rPr>
      </w:pPr>
      <w:r w:rsidRPr="00BD5BB8">
        <w:rPr>
          <w:rFonts w:ascii="Times New Roman" w:hAnsi="Times New Roman" w:cs="Times New Roman"/>
          <w:b/>
          <w:caps/>
          <w:color w:val="C00000"/>
          <w:sz w:val="24"/>
          <w:szCs w:val="24"/>
        </w:rPr>
        <w:t>Български Червен кръст (БЧК)</w:t>
      </w:r>
    </w:p>
    <w:p w:rsidR="005F2097" w:rsidRPr="00BD5BB8" w:rsidRDefault="005F2097" w:rsidP="005F2097">
      <w:pPr>
        <w:spacing w:after="0" w:line="240" w:lineRule="auto"/>
        <w:ind w:firstLine="709"/>
        <w:contextualSpacing/>
        <w:jc w:val="center"/>
        <w:rPr>
          <w:rFonts w:ascii="Times New Roman" w:eastAsia="Times New Roman" w:hAnsi="Times New Roman" w:cs="Times New Roman"/>
          <w:i/>
          <w:color w:val="7030A0"/>
          <w:sz w:val="24"/>
          <w:szCs w:val="24"/>
          <w:lang w:eastAsia="bg-BG"/>
        </w:rPr>
      </w:pPr>
    </w:p>
    <w:p w:rsidR="00FA349F" w:rsidRPr="00BD5BB8" w:rsidRDefault="00FA349F" w:rsidP="00FA349F">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 xml:space="preserve">БЧК от години работи за утвърждаване на интегрираните здравно-социални услуги в домашна среда като успешен модел за дългосрочна грижа за възрастни хора с хронични заболявания и трайни увреждания. Голяма заслуга за това има проект “Домашни грижи за независим и достоен живот”, който беше осъществен в периода 2012 – 2017 г. с подкрепата на Швейцарската агенция за сътрудничество и развитие и в партньорство с МЗ, МТСП и Швейцарски Червен кръст. Освен успешното апробиране на модела “домашни грижи” в четири общини на област Враца, в рамките на проекта бяха направени първи стъпки за трайно регламентиране на този тип услуги в България. </w:t>
      </w:r>
    </w:p>
    <w:p w:rsidR="00FA349F" w:rsidRPr="00BD5BB8" w:rsidRDefault="00FA349F" w:rsidP="00FA349F">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 xml:space="preserve">         През първата половина на 2017 г. БЧК, с участието на подизпълнител, организира и проведе финансов анализ на предоставяните услуги в област Враца. От изнесените резултати стана ясно, че към този момент в България не съществува друга подобна услуга в общността, ефективно съчетаваща здравния и социален компонент, а средната годишна издръжка за обгрижване в домашна среда е в пъти по-ниска от годишната издръжка за едно лице в социална институция или лечебно заведение. Направеният анализ следва да послужи като основа за изработването на финансови стандарти за интегрираните здравно-социални услуги в домашна среда от съответните институции в бъдеще.</w:t>
      </w:r>
    </w:p>
    <w:p w:rsidR="00FA349F" w:rsidRPr="00BD5BB8" w:rsidRDefault="00FA349F" w:rsidP="00FA349F">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 xml:space="preserve">        С цел постигане на устойчивост на модела, изграден в рамките на проект “Домашни грижи за независим и достоен живот”, БЧК, МЗ и МТСП продължиха </w:t>
      </w:r>
      <w:r w:rsidRPr="00BD5BB8">
        <w:rPr>
          <w:rFonts w:ascii="Times New Roman" w:hAnsi="Times New Roman" w:cs="Times New Roman"/>
          <w:sz w:val="24"/>
          <w:szCs w:val="24"/>
        </w:rPr>
        <w:lastRenderedPageBreak/>
        <w:t>съвместната работа по отношение адекватно включване на този тип услуги в новия Закон за социалните услуги, чието разработване стартира през 2017 г., както и планирането на адекватни мерки в други стратегически документи на национално ниво. Значителен резултат беше постигнат през м. декември 2017 г. при изработването на План за действие за периода 2018-2021 г. за Националната стратегия за дългосрочна грижа, впоследствие приет от МС. Активното участие на БЧК в работната група доведе до набелязването на конкретни мерки, обвързани със срокове и финансов ресурс, които да доведат до постигане на устойчивост на изградения модел и неговото мултиплициране на територията на цялата страна със средства от ОП РЧР.</w:t>
      </w:r>
    </w:p>
    <w:p w:rsidR="00FA349F" w:rsidRPr="00BD5BB8" w:rsidRDefault="00FA349F" w:rsidP="00FA349F">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 xml:space="preserve">       След приключване на финансирането на проекта от страна на Швейцарската агенция за сътрудничество и развитие, БЧК осигури продължаване на дейността на четирите центъра „Домашни грижи“ в област Враца в пълен обем с подкрепата на Швейцарски Червен кръст и собствени средства. Благодарение на това Центровете продължиха предоставянето на редовни професионални грижи на повече от 400 души в общините Враца, Оряхово, Криводол и Бяла Слатина, вкл. и в 14 малки населени места. </w:t>
      </w:r>
    </w:p>
    <w:p w:rsidR="00FA349F" w:rsidRPr="00BD5BB8" w:rsidRDefault="00FA349F" w:rsidP="00FA349F">
      <w:pPr>
        <w:autoSpaceDE w:val="0"/>
        <w:autoSpaceDN w:val="0"/>
        <w:adjustRightInd w:val="0"/>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 xml:space="preserve">        През 2017 и 2018 г. продължиха своята дейност и Центровете “Домашни грижи” в гр. София, гр. Варна, гр. Благоевград и гр. Пловдив. Общо те са предоставяли услуги в домашна среда на 200 души средно на месец. Център “Домашни грижи” – Варна работи по договор с община Варна за общинска делегирана дейност. Център “Домашни грижи” – Пловдив предоставя услуги до м. юли 2017 г.  От м. август неговата дейност е преобразувана в съвместна социална програма „Мобилни социални екипи в район Централен на Община Пловдив”, което позволи на БЧК да запази целите и всички постигнати резултати по Програма “Домашни грижи”.</w:t>
      </w:r>
    </w:p>
    <w:p w:rsidR="005F2097" w:rsidRPr="00BD5BB8" w:rsidRDefault="005F2097" w:rsidP="005F2097">
      <w:pPr>
        <w:tabs>
          <w:tab w:val="left" w:pos="709"/>
        </w:tabs>
        <w:spacing w:after="0" w:line="240" w:lineRule="auto"/>
        <w:jc w:val="both"/>
        <w:rPr>
          <w:rFonts w:ascii="Times New Roman" w:hAnsi="Times New Roman"/>
          <w:sz w:val="24"/>
          <w:szCs w:val="24"/>
        </w:rPr>
      </w:pPr>
    </w:p>
    <w:p w:rsidR="005F2097" w:rsidRPr="00BD5BB8" w:rsidRDefault="005F2097" w:rsidP="005F2097">
      <w:pPr>
        <w:spacing w:after="0" w:line="240" w:lineRule="auto"/>
        <w:ind w:firstLine="720"/>
        <w:jc w:val="both"/>
        <w:rPr>
          <w:rFonts w:ascii="Times New Roman" w:eastAsia="Calibri" w:hAnsi="Times New Roman" w:cs="Times New Roman"/>
          <w:sz w:val="24"/>
          <w:szCs w:val="24"/>
        </w:rPr>
      </w:pPr>
    </w:p>
    <w:p w:rsidR="00B87D2C" w:rsidRPr="00BD5BB8" w:rsidRDefault="00B87D2C" w:rsidP="005F2097">
      <w:pPr>
        <w:spacing w:after="0" w:line="240" w:lineRule="auto"/>
        <w:ind w:firstLine="720"/>
        <w:jc w:val="both"/>
        <w:rPr>
          <w:rFonts w:ascii="Times New Roman" w:eastAsia="Calibri" w:hAnsi="Times New Roman" w:cs="Times New Roman"/>
          <w:sz w:val="24"/>
          <w:szCs w:val="24"/>
        </w:rPr>
      </w:pPr>
    </w:p>
    <w:p w:rsidR="005F2097" w:rsidRPr="00BD5BB8" w:rsidRDefault="005F2097" w:rsidP="005F2097">
      <w:pPr>
        <w:shd w:val="clear" w:color="auto" w:fill="92D050"/>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Оперативна цел № 6</w:t>
      </w:r>
    </w:p>
    <w:p w:rsidR="005F2097" w:rsidRPr="00BD5BB8" w:rsidRDefault="005F2097" w:rsidP="005F2097">
      <w:pPr>
        <w:shd w:val="clear" w:color="auto" w:fill="92D050"/>
        <w:spacing w:after="0" w:line="240" w:lineRule="auto"/>
        <w:jc w:val="center"/>
        <w:rPr>
          <w:rFonts w:ascii="Times New Roman" w:hAnsi="Times New Roman" w:cs="Times New Roman"/>
          <w:sz w:val="24"/>
          <w:szCs w:val="24"/>
        </w:rPr>
      </w:pPr>
      <w:r w:rsidRPr="00BD5BB8">
        <w:rPr>
          <w:rFonts w:ascii="Times New Roman" w:hAnsi="Times New Roman" w:cs="Times New Roman"/>
          <w:b/>
          <w:sz w:val="28"/>
          <w:szCs w:val="28"/>
        </w:rPr>
        <w:t>Развитие на доброволчеството</w:t>
      </w:r>
    </w:p>
    <w:p w:rsidR="005F2097" w:rsidRPr="00BD5BB8" w:rsidRDefault="005F2097" w:rsidP="005F2097">
      <w:pPr>
        <w:spacing w:after="0" w:line="240" w:lineRule="auto"/>
        <w:contextualSpacing/>
        <w:jc w:val="both"/>
        <w:rPr>
          <w:rFonts w:ascii="Times New Roman" w:eastAsia="Times New Roman" w:hAnsi="Times New Roman" w:cs="Times New Roman"/>
          <w:b/>
          <w:sz w:val="24"/>
          <w:szCs w:val="24"/>
          <w:lang w:eastAsia="bg-BG"/>
        </w:rPr>
      </w:pP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 xml:space="preserve">3.6. Мерки за развитие на доброволчеството </w:t>
      </w:r>
    </w:p>
    <w:p w:rsidR="005F2097" w:rsidRPr="00BD5BB8" w:rsidRDefault="005F2097" w:rsidP="005F2097">
      <w:pPr>
        <w:shd w:val="clear" w:color="auto" w:fill="99FF33"/>
        <w:spacing w:after="0" w:line="240" w:lineRule="auto"/>
        <w:contextualSpacing/>
        <w:jc w:val="center"/>
        <w:rPr>
          <w:rFonts w:ascii="Times New Roman" w:eastAsia="Times New Roman" w:hAnsi="Times New Roman" w:cs="Times New Roman"/>
          <w:b/>
          <w:sz w:val="28"/>
          <w:szCs w:val="28"/>
          <w:lang w:eastAsia="bg-BG"/>
        </w:rPr>
      </w:pPr>
      <w:r w:rsidRPr="00BD5BB8">
        <w:rPr>
          <w:rFonts w:ascii="Times New Roman" w:eastAsia="Times New Roman" w:hAnsi="Times New Roman" w:cs="Times New Roman"/>
          <w:b/>
          <w:sz w:val="28"/>
          <w:szCs w:val="28"/>
          <w:lang w:eastAsia="bg-BG"/>
        </w:rPr>
        <w:t>и солидарността между поколенията по Оперативна цел 6</w:t>
      </w:r>
    </w:p>
    <w:p w:rsidR="005F2097" w:rsidRPr="00BD5BB8" w:rsidRDefault="005F2097" w:rsidP="005F2097">
      <w:pPr>
        <w:spacing w:after="0" w:line="240" w:lineRule="auto"/>
        <w:contextualSpacing/>
        <w:jc w:val="center"/>
        <w:rPr>
          <w:rFonts w:ascii="Times New Roman" w:eastAsia="Times New Roman" w:hAnsi="Times New Roman" w:cs="Times New Roman"/>
          <w:b/>
          <w:sz w:val="24"/>
          <w:szCs w:val="24"/>
          <w:lang w:eastAsia="bg-BG"/>
        </w:rPr>
      </w:pPr>
    </w:p>
    <w:p w:rsidR="005F2097" w:rsidRPr="00BD5BB8" w:rsidRDefault="005F2097" w:rsidP="005F2097">
      <w:pPr>
        <w:spacing w:after="0" w:line="240" w:lineRule="auto"/>
        <w:jc w:val="center"/>
        <w:rPr>
          <w:rFonts w:ascii="Times New Roman" w:hAnsi="Times New Roman" w:cs="Times New Roman"/>
          <w:b/>
          <w:caps/>
          <w:color w:val="C00000"/>
          <w:sz w:val="24"/>
          <w:szCs w:val="24"/>
        </w:rPr>
      </w:pPr>
    </w:p>
    <w:p w:rsidR="005F2097" w:rsidRPr="00BD5BB8" w:rsidRDefault="005F2097" w:rsidP="005F2097">
      <w:pPr>
        <w:spacing w:after="0" w:line="240" w:lineRule="auto"/>
        <w:jc w:val="center"/>
        <w:rPr>
          <w:rFonts w:ascii="Times New Roman" w:hAnsi="Times New Roman" w:cs="Times New Roman"/>
          <w:b/>
          <w:caps/>
          <w:color w:val="C00000"/>
          <w:sz w:val="24"/>
          <w:szCs w:val="24"/>
        </w:rPr>
      </w:pPr>
      <w:r w:rsidRPr="00BD5BB8">
        <w:rPr>
          <w:rFonts w:ascii="Times New Roman" w:hAnsi="Times New Roman" w:cs="Times New Roman"/>
          <w:b/>
          <w:caps/>
          <w:color w:val="C00000"/>
          <w:sz w:val="24"/>
          <w:szCs w:val="24"/>
        </w:rPr>
        <w:t>БЪЛГАРСКИ ЧЕРВЕН КРЪСТ (БЧК)</w:t>
      </w:r>
    </w:p>
    <w:p w:rsidR="005F2097" w:rsidRPr="00BD5BB8" w:rsidRDefault="005F2097" w:rsidP="005F2097">
      <w:pPr>
        <w:spacing w:after="0" w:line="240" w:lineRule="auto"/>
        <w:ind w:right="23" w:firstLine="708"/>
        <w:jc w:val="both"/>
        <w:rPr>
          <w:rFonts w:ascii="Times New Roman" w:eastAsia="Times New Roman" w:hAnsi="Times New Roman" w:cs="Times New Roman"/>
          <w:sz w:val="24"/>
          <w:szCs w:val="24"/>
        </w:rPr>
      </w:pPr>
    </w:p>
    <w:p w:rsidR="00D21898" w:rsidRPr="00BD5BB8" w:rsidRDefault="00D21898" w:rsidP="00D21898">
      <w:pPr>
        <w:shd w:val="clear" w:color="auto" w:fill="FFFFFF" w:themeFill="background1"/>
        <w:spacing w:after="0" w:line="240" w:lineRule="auto"/>
        <w:ind w:firstLine="709"/>
        <w:jc w:val="both"/>
        <w:rPr>
          <w:rFonts w:ascii="Times New Roman" w:eastAsia="Times New Roman" w:hAnsi="Times New Roman" w:cs="Times New Roman"/>
          <w:sz w:val="24"/>
          <w:szCs w:val="24"/>
          <w:lang w:eastAsia="bg-BG"/>
        </w:rPr>
      </w:pPr>
      <w:r w:rsidRPr="00BD5BB8">
        <w:rPr>
          <w:rFonts w:ascii="Times New Roman" w:eastAsia="Calibri" w:hAnsi="Times New Roman" w:cs="Times New Roman"/>
          <w:sz w:val="24"/>
          <w:szCs w:val="24"/>
        </w:rPr>
        <w:t xml:space="preserve">Всяка година по повод Международния ден на възрастните хора – 1 октомври, доброволците и служителите на Българския Червен кръст в цялата страна инициират и организират различни прояви, за да засвидетелстват уважение и признателност към хората от третата възраст, за да им доставят радост и приятни изживявания на празника, да им пожелаят здраве и дълголетие. Стартиралото през 2015 г. </w:t>
      </w:r>
      <w:r w:rsidRPr="00BD5BB8">
        <w:rPr>
          <w:rFonts w:ascii="Times New Roman" w:hAnsi="Times New Roman" w:cs="Times New Roman"/>
          <w:sz w:val="24"/>
          <w:szCs w:val="24"/>
        </w:rPr>
        <w:t>Национално състезание за възрастни хора по бедствена готовност, първа долекарска помощ, психо социална подкрепа и познания относно правата им</w:t>
      </w:r>
      <w:r w:rsidRPr="00BD5BB8">
        <w:rPr>
          <w:rFonts w:ascii="Times New Roman" w:eastAsia="Calibri" w:hAnsi="Times New Roman" w:cs="Times New Roman"/>
          <w:sz w:val="24"/>
          <w:szCs w:val="24"/>
        </w:rPr>
        <w:t xml:space="preserve"> се превърна в традиционно и ежегодно се провежда в Националния учебен център на БЧК в с. Лозен. Основната му цел е да се</w:t>
      </w:r>
      <w:r w:rsidRPr="00BD5BB8">
        <w:rPr>
          <w:rFonts w:ascii="Times New Roman" w:eastAsia="Times New Roman" w:hAnsi="Times New Roman" w:cs="Times New Roman"/>
          <w:sz w:val="24"/>
          <w:szCs w:val="24"/>
          <w:lang w:eastAsia="bg-BG"/>
        </w:rPr>
        <w:t xml:space="preserve"> подкрепи социалното включване на възрастните хора в България и да се създаде среда за тяхното активно участие в живота на съвременното българско общество.</w:t>
      </w:r>
    </w:p>
    <w:p w:rsidR="00D21898" w:rsidRPr="00BD5BB8" w:rsidRDefault="00D21898" w:rsidP="00D21898">
      <w:pPr>
        <w:autoSpaceDE w:val="0"/>
        <w:autoSpaceDN w:val="0"/>
        <w:adjustRightInd w:val="0"/>
        <w:spacing w:after="0" w:line="240" w:lineRule="auto"/>
        <w:ind w:firstLine="709"/>
        <w:jc w:val="both"/>
        <w:rPr>
          <w:rFonts w:ascii="Times New Roman" w:hAnsi="Times New Roman" w:cs="Times New Roman"/>
          <w:sz w:val="24"/>
          <w:szCs w:val="24"/>
        </w:rPr>
      </w:pPr>
      <w:r w:rsidRPr="00BD5BB8">
        <w:rPr>
          <w:rFonts w:ascii="Times New Roman" w:eastAsia="Calibri" w:hAnsi="Times New Roman" w:cs="Times New Roman"/>
          <w:sz w:val="24"/>
          <w:szCs w:val="24"/>
        </w:rPr>
        <w:t xml:space="preserve">През 2017 и 2018 г. участие в него взеха по </w:t>
      </w:r>
      <w:r w:rsidRPr="00BD5BB8">
        <w:rPr>
          <w:rFonts w:ascii="Times New Roman" w:hAnsi="Times New Roman" w:cs="Times New Roman"/>
          <w:sz w:val="24"/>
          <w:szCs w:val="24"/>
        </w:rPr>
        <w:t xml:space="preserve">80 доброволци над 60 години от 16 области на страната (Благоевград, Бургас, Варна, Видин, Враца, Габрово, Добрич, </w:t>
      </w:r>
      <w:r w:rsidRPr="00BD5BB8">
        <w:rPr>
          <w:rFonts w:ascii="Times New Roman" w:hAnsi="Times New Roman" w:cs="Times New Roman"/>
          <w:sz w:val="24"/>
          <w:szCs w:val="24"/>
        </w:rPr>
        <w:lastRenderedPageBreak/>
        <w:t xml:space="preserve">Кюстендил, Ловеч, Монтана, Пловдив, Смолян, Русе, Търговище, Шумен и Ямбол). Всички те бяха предварително обучени от представители на областните организации на БЧК и преминаха през 16 състезателни пункта. Отборите трябваше да се справят със задачи за оказване на първа долекарска помощ при: спортни, битови и автомобилни инциденти, да окажат психо социална подкрепа на пострадали при бедствия и да покажат познания относно правата на възрастните хора. Със заразителен оптимизъм, кураж и действеност възрастните състезатели доказаха, че са ценен обществен ресурс, който може и трябва да бъде използван. </w:t>
      </w:r>
    </w:p>
    <w:p w:rsidR="00D21898" w:rsidRPr="00BD5BB8" w:rsidRDefault="00D21898" w:rsidP="00D21898">
      <w:pPr>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БЧК винаги  е осъзнавал, че солидарността между поколенията играе ключова роля в развитието на по-справедливи и устойчиви системи, базирайки се на познанията и опита на по-възрастните, предадени на младите поколения.</w:t>
      </w:r>
    </w:p>
    <w:p w:rsidR="00D21898" w:rsidRPr="00BD5BB8" w:rsidRDefault="00D21898" w:rsidP="00D21898">
      <w:pPr>
        <w:spacing w:after="0" w:line="240" w:lineRule="auto"/>
        <w:ind w:firstLine="709"/>
        <w:jc w:val="both"/>
        <w:rPr>
          <w:rFonts w:ascii="Times New Roman" w:hAnsi="Times New Roman" w:cs="Times New Roman"/>
          <w:sz w:val="24"/>
          <w:szCs w:val="24"/>
        </w:rPr>
      </w:pPr>
      <w:r w:rsidRPr="00BD5BB8">
        <w:rPr>
          <w:rFonts w:ascii="Times New Roman" w:eastAsia="Times New Roman" w:hAnsi="Times New Roman" w:cs="Times New Roman"/>
          <w:sz w:val="24"/>
          <w:szCs w:val="24"/>
          <w:lang w:eastAsia="bg-BG"/>
        </w:rPr>
        <w:t>По случай 29 април – Европейският ден за солидарност между поколенията</w:t>
      </w:r>
      <w:r w:rsidRPr="00BD5BB8">
        <w:rPr>
          <w:rFonts w:ascii="Times New Roman" w:hAnsi="Times New Roman" w:cs="Times New Roman"/>
          <w:sz w:val="24"/>
          <w:szCs w:val="24"/>
        </w:rPr>
        <w:t xml:space="preserve">, традиционно БЧК организира в цялата страна засаждане на цветя, дръвчета и храсти. </w:t>
      </w:r>
      <w:r w:rsidRPr="00BD5BB8">
        <w:rPr>
          <w:rFonts w:ascii="Times New Roman" w:eastAsia="Times New Roman" w:hAnsi="Times New Roman" w:cs="Times New Roman"/>
          <w:sz w:val="24"/>
          <w:szCs w:val="24"/>
          <w:lang w:eastAsia="bg-BG"/>
        </w:rPr>
        <w:t>Инициативата се осъществи заедно с доброволци от различни възрасти, а о</w:t>
      </w:r>
      <w:r w:rsidRPr="00BD5BB8">
        <w:rPr>
          <w:rFonts w:ascii="Times New Roman" w:hAnsi="Times New Roman" w:cs="Times New Roman"/>
          <w:sz w:val="24"/>
          <w:szCs w:val="24"/>
        </w:rPr>
        <w:t>сновната цел на мероприятието е да се привлече вниманието на обществото към приемствеността, разбирателството и хуманността, за да живеем по-добре заедно.</w:t>
      </w:r>
    </w:p>
    <w:p w:rsidR="00D21898" w:rsidRPr="00BD5BB8" w:rsidRDefault="00D21898" w:rsidP="00D21898">
      <w:pPr>
        <w:spacing w:after="0" w:line="240" w:lineRule="auto"/>
        <w:ind w:firstLine="709"/>
        <w:jc w:val="both"/>
        <w:rPr>
          <w:rFonts w:ascii="Times New Roman" w:eastAsia="Times New Roman" w:hAnsi="Times New Roman" w:cs="Times New Roman"/>
          <w:sz w:val="20"/>
          <w:szCs w:val="20"/>
        </w:rPr>
      </w:pPr>
      <w:r w:rsidRPr="00BD5BB8">
        <w:rPr>
          <w:rFonts w:ascii="Times New Roman" w:eastAsia="Times New Roman" w:hAnsi="Times New Roman" w:cs="Times New Roman"/>
          <w:sz w:val="24"/>
          <w:szCs w:val="24"/>
          <w:lang w:eastAsia="bg-BG"/>
        </w:rPr>
        <w:t>Във връзка с 29 април, през 2017</w:t>
      </w:r>
      <w:r w:rsidR="0057239B">
        <w:rPr>
          <w:rFonts w:ascii="Times New Roman" w:eastAsia="Times New Roman" w:hAnsi="Times New Roman" w:cs="Times New Roman"/>
          <w:sz w:val="24"/>
          <w:szCs w:val="24"/>
          <w:lang w:eastAsia="bg-BG"/>
        </w:rPr>
        <w:t xml:space="preserve"> </w:t>
      </w:r>
      <w:r w:rsidRPr="00BD5BB8">
        <w:rPr>
          <w:rFonts w:ascii="Times New Roman" w:eastAsia="Times New Roman" w:hAnsi="Times New Roman" w:cs="Times New Roman"/>
          <w:sz w:val="24"/>
          <w:szCs w:val="24"/>
          <w:lang w:eastAsia="bg-BG"/>
        </w:rPr>
        <w:t>г. и 2018 г. във всички 28 области на България</w:t>
      </w:r>
      <w:r w:rsidRPr="00BD5BB8">
        <w:rPr>
          <w:rFonts w:ascii="Times New Roman" w:eastAsia="Times New Roman" w:hAnsi="Times New Roman" w:cs="Times New Roman"/>
          <w:b/>
          <w:sz w:val="20"/>
          <w:szCs w:val="20"/>
          <w:lang w:eastAsia="bg-BG"/>
        </w:rPr>
        <w:t xml:space="preserve"> </w:t>
      </w:r>
      <w:r w:rsidRPr="00BD5BB8">
        <w:rPr>
          <w:rFonts w:ascii="Times New Roman" w:eastAsia="Times New Roman" w:hAnsi="Times New Roman" w:cs="Times New Roman"/>
          <w:sz w:val="24"/>
          <w:szCs w:val="24"/>
          <w:lang w:eastAsia="bg-BG"/>
        </w:rPr>
        <w:t xml:space="preserve">бяха организирани </w:t>
      </w:r>
      <w:r w:rsidRPr="00BD5BB8">
        <w:rPr>
          <w:rFonts w:ascii="Times New Roman" w:eastAsia="Times New Roman" w:hAnsi="Times New Roman" w:cs="Times New Roman"/>
          <w:sz w:val="20"/>
          <w:szCs w:val="20"/>
          <w:lang w:eastAsia="bg-BG"/>
        </w:rPr>
        <w:t xml:space="preserve"> </w:t>
      </w:r>
      <w:r w:rsidRPr="00BD5BB8">
        <w:rPr>
          <w:rFonts w:ascii="Times New Roman" w:eastAsia="Times New Roman" w:hAnsi="Times New Roman" w:cs="Times New Roman"/>
          <w:sz w:val="24"/>
          <w:szCs w:val="24"/>
          <w:lang w:eastAsia="bg-BG"/>
        </w:rPr>
        <w:t>информационни кампании,</w:t>
      </w:r>
      <w:r w:rsidRPr="00BD5BB8">
        <w:rPr>
          <w:rFonts w:ascii="Times New Roman" w:eastAsia="Times New Roman" w:hAnsi="Times New Roman" w:cs="Times New Roman"/>
          <w:sz w:val="18"/>
          <w:szCs w:val="18"/>
        </w:rPr>
        <w:t xml:space="preserve"> </w:t>
      </w:r>
      <w:r w:rsidRPr="00BD5BB8">
        <w:rPr>
          <w:rFonts w:ascii="Times New Roman" w:eastAsia="Times New Roman" w:hAnsi="Times New Roman" w:cs="Times New Roman"/>
          <w:sz w:val="24"/>
          <w:szCs w:val="24"/>
        </w:rPr>
        <w:t>в които млади и  възрастни хора отправяха послание за по-добро бъдеще за всички поколения</w:t>
      </w:r>
      <w:r w:rsidRPr="00BD5BB8">
        <w:rPr>
          <w:rFonts w:ascii="Times New Roman" w:eastAsia="Times New Roman" w:hAnsi="Times New Roman" w:cs="Times New Roman"/>
          <w:sz w:val="24"/>
          <w:szCs w:val="24"/>
          <w:lang w:eastAsia="bg-BG"/>
        </w:rPr>
        <w:t>. С</w:t>
      </w:r>
      <w:r w:rsidRPr="00BD5BB8">
        <w:rPr>
          <w:rFonts w:ascii="Times New Roman" w:eastAsia="Times New Roman" w:hAnsi="Times New Roman" w:cs="Times New Roman"/>
          <w:sz w:val="24"/>
          <w:szCs w:val="24"/>
        </w:rPr>
        <w:t>ъбрани бяха заедно представители на различни поколения и възрасти, които обсъдиха как би могло да се постигне едно по-добро общество и за възрастните и за младите хора. Младежите имаха възможност да изслушат историите на възрастните хора, а съответно възрастните да чуят мечтите и страховете на младежите. Това даде възможност всички да се замислят над чутото и дискутираното, и да решат какво биха могли да направят заедно за едно по-добро бъдеще</w:t>
      </w:r>
      <w:r w:rsidRPr="00BD5BB8">
        <w:rPr>
          <w:rFonts w:ascii="Times New Roman" w:eastAsia="Times New Roman" w:hAnsi="Times New Roman" w:cs="Times New Roman"/>
          <w:sz w:val="20"/>
          <w:szCs w:val="20"/>
        </w:rPr>
        <w:t xml:space="preserve">. </w:t>
      </w:r>
    </w:p>
    <w:p w:rsidR="005F2097" w:rsidRPr="00BD5BB8" w:rsidRDefault="00D21898" w:rsidP="00D21898">
      <w:pPr>
        <w:spacing w:after="0" w:line="240" w:lineRule="auto"/>
        <w:ind w:firstLine="720"/>
        <w:jc w:val="both"/>
        <w:rPr>
          <w:rFonts w:ascii="Times New Roman" w:eastAsia="Calibri" w:hAnsi="Times New Roman" w:cs="Times New Roman"/>
          <w:sz w:val="24"/>
          <w:szCs w:val="24"/>
        </w:rPr>
      </w:pPr>
      <w:r w:rsidRPr="00BD5BB8">
        <w:rPr>
          <w:rFonts w:ascii="Times New Roman" w:eastAsia="Times New Roman" w:hAnsi="Times New Roman" w:cs="Times New Roman"/>
          <w:sz w:val="24"/>
          <w:szCs w:val="24"/>
        </w:rPr>
        <w:t>В 28-те информационни кампании, през 2017 г. участие взеха 2 000, а през 2018 година над 2 100 млади и възрастни хора и много местни неправителствени организации от съответните региони.</w:t>
      </w:r>
      <w:r w:rsidR="005F2097" w:rsidRPr="00BD5BB8">
        <w:rPr>
          <w:rFonts w:ascii="Times New Roman" w:eastAsia="Calibri" w:hAnsi="Times New Roman" w:cs="Times New Roman"/>
          <w:sz w:val="24"/>
          <w:szCs w:val="24"/>
        </w:rPr>
        <w:t xml:space="preserve"> </w:t>
      </w:r>
    </w:p>
    <w:p w:rsidR="005F2097" w:rsidRPr="00BD5BB8" w:rsidRDefault="005F2097" w:rsidP="005F2097">
      <w:pPr>
        <w:rPr>
          <w:rFonts w:ascii="Times New Roman" w:eastAsia="Calibri" w:hAnsi="Times New Roman" w:cs="Times New Roman"/>
          <w:sz w:val="24"/>
          <w:szCs w:val="24"/>
        </w:rPr>
      </w:pPr>
      <w:r w:rsidRPr="00BD5BB8">
        <w:rPr>
          <w:rFonts w:ascii="Times New Roman" w:hAnsi="Times New Roman"/>
          <w:sz w:val="24"/>
          <w:szCs w:val="24"/>
        </w:rPr>
        <w:br w:type="page"/>
      </w:r>
    </w:p>
    <w:p w:rsidR="0092148B" w:rsidRPr="00BD5BB8" w:rsidRDefault="0092148B" w:rsidP="0092148B">
      <w:pPr>
        <w:autoSpaceDE w:val="0"/>
        <w:autoSpaceDN w:val="0"/>
        <w:adjustRightInd w:val="0"/>
        <w:spacing w:after="0" w:line="240" w:lineRule="auto"/>
        <w:jc w:val="center"/>
        <w:rPr>
          <w:rFonts w:ascii="Times New Roman" w:eastAsia="MyriadPro-Regular" w:hAnsi="Times New Roman" w:cs="Times New Roman"/>
          <w:b/>
          <w:sz w:val="24"/>
          <w:szCs w:val="24"/>
        </w:rPr>
      </w:pPr>
      <w:r w:rsidRPr="00BD5BB8">
        <w:rPr>
          <w:rFonts w:ascii="Times New Roman" w:eastAsia="MyriadPro-Regular" w:hAnsi="Times New Roman" w:cs="Times New Roman"/>
          <w:b/>
          <w:sz w:val="24"/>
          <w:szCs w:val="24"/>
        </w:rPr>
        <w:lastRenderedPageBreak/>
        <w:t>ЗАКЛЮЧЕНИЕ</w:t>
      </w:r>
    </w:p>
    <w:p w:rsidR="0092148B" w:rsidRPr="00BD5BB8" w:rsidRDefault="0092148B" w:rsidP="0092148B">
      <w:pPr>
        <w:spacing w:after="0" w:line="240" w:lineRule="auto"/>
        <w:jc w:val="center"/>
        <w:rPr>
          <w:rFonts w:ascii="Times New Roman" w:hAnsi="Times New Roman" w:cs="Times New Roman"/>
          <w:color w:val="333333"/>
          <w:sz w:val="24"/>
          <w:szCs w:val="24"/>
        </w:rPr>
      </w:pPr>
    </w:p>
    <w:p w:rsidR="0092148B" w:rsidRPr="00BD5BB8" w:rsidRDefault="0092148B" w:rsidP="0092148B">
      <w:pPr>
        <w:spacing w:after="0" w:line="240" w:lineRule="auto"/>
        <w:ind w:firstLine="706"/>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 xml:space="preserve">Процесът на стареене на населението се превръща в една от най-значимите трансформации на 21-ви век. Стареенето на населението се отразява практически във всички сектори на обществото. </w:t>
      </w:r>
    </w:p>
    <w:p w:rsidR="0092148B" w:rsidRPr="00BD5BB8" w:rsidRDefault="0092148B" w:rsidP="0092148B">
      <w:pPr>
        <w:spacing w:after="0" w:line="240" w:lineRule="auto"/>
        <w:ind w:firstLine="706"/>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 xml:space="preserve">Демографското стареене оказва въздействие върху трудовите и финансовите пазари, търсенето на стоки и услуги, такива като жилищно строителство, транспорт и социална защита, структурата на семействата и взаимоотношенията между хората от различни поколения. </w:t>
      </w:r>
    </w:p>
    <w:p w:rsidR="003E58C0" w:rsidRPr="00BD5BB8" w:rsidRDefault="003E58C0" w:rsidP="0092148B">
      <w:pPr>
        <w:keepNext/>
        <w:keepLines/>
        <w:spacing w:after="0" w:line="240" w:lineRule="auto"/>
        <w:jc w:val="center"/>
        <w:outlineLvl w:val="2"/>
        <w:rPr>
          <w:rFonts w:ascii="Times New Roman" w:eastAsiaTheme="majorEastAsia" w:hAnsi="Times New Roman" w:cs="Times New Roman"/>
          <w:b/>
          <w:bCs/>
          <w:color w:val="000000" w:themeColor="text1"/>
          <w:sz w:val="24"/>
          <w:szCs w:val="24"/>
        </w:rPr>
      </w:pPr>
    </w:p>
    <w:p w:rsidR="0092148B" w:rsidRPr="00BD5BB8" w:rsidRDefault="0092148B" w:rsidP="0092148B">
      <w:pPr>
        <w:keepNext/>
        <w:keepLines/>
        <w:spacing w:after="0" w:line="240" w:lineRule="auto"/>
        <w:jc w:val="center"/>
        <w:outlineLvl w:val="2"/>
        <w:rPr>
          <w:rFonts w:ascii="Times New Roman" w:eastAsiaTheme="majorEastAsia" w:hAnsi="Times New Roman" w:cs="Times New Roman"/>
          <w:b/>
          <w:bCs/>
          <w:color w:val="000000" w:themeColor="text1"/>
          <w:sz w:val="24"/>
          <w:szCs w:val="24"/>
        </w:rPr>
      </w:pPr>
      <w:r w:rsidRPr="00BD5BB8">
        <w:rPr>
          <w:rFonts w:ascii="Times New Roman" w:eastAsiaTheme="majorEastAsia" w:hAnsi="Times New Roman" w:cs="Times New Roman"/>
          <w:b/>
          <w:bCs/>
          <w:color w:val="000000" w:themeColor="text1"/>
          <w:sz w:val="24"/>
          <w:szCs w:val="24"/>
        </w:rPr>
        <w:t>Показатели и тенденции в областта на стареенето на населението</w:t>
      </w:r>
    </w:p>
    <w:p w:rsidR="0092148B" w:rsidRPr="00BD5BB8" w:rsidRDefault="0092148B" w:rsidP="0092148B">
      <w:pPr>
        <w:spacing w:after="0" w:line="240" w:lineRule="auto"/>
        <w:jc w:val="center"/>
      </w:pPr>
    </w:p>
    <w:p w:rsidR="004C6069" w:rsidRPr="00BD5BB8" w:rsidRDefault="004C6069" w:rsidP="004C6069">
      <w:pPr>
        <w:spacing w:after="0" w:line="240" w:lineRule="auto"/>
        <w:ind w:firstLine="706"/>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Населението на света старее, като хората над 65 години са най-бързо растящата възрастова група.</w:t>
      </w:r>
    </w:p>
    <w:p w:rsidR="003E58C0" w:rsidRPr="00BD5BB8" w:rsidRDefault="003E58C0" w:rsidP="004C6069">
      <w:pPr>
        <w:spacing w:after="0" w:line="240" w:lineRule="auto"/>
        <w:ind w:firstLine="706"/>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Съгласно отчета</w:t>
      </w:r>
      <w:r w:rsidRPr="00BD5BB8">
        <w:rPr>
          <w:rFonts w:ascii="Times New Roman" w:eastAsia="Times New Roman" w:hAnsi="Times New Roman" w:cs="Times New Roman"/>
          <w:i/>
          <w:color w:val="333333"/>
          <w:sz w:val="24"/>
          <w:szCs w:val="24"/>
        </w:rPr>
        <w:t xml:space="preserve"> </w:t>
      </w:r>
      <w:r w:rsidRPr="00BD5BB8">
        <w:rPr>
          <w:rFonts w:ascii="Times New Roman" w:eastAsia="Times New Roman" w:hAnsi="Times New Roman" w:cs="Times New Roman"/>
          <w:color w:val="333333"/>
          <w:sz w:val="24"/>
          <w:szCs w:val="24"/>
        </w:rPr>
        <w:t>на ООН „Световните демографски перспективи: преразгледано издание, 2019 г.“</w:t>
      </w:r>
      <w:r w:rsidRPr="00BD5BB8">
        <w:rPr>
          <w:rFonts w:ascii="Times New Roman" w:eastAsia="Times New Roman" w:hAnsi="Times New Roman" w:cs="Times New Roman"/>
          <w:color w:val="333333"/>
          <w:sz w:val="24"/>
          <w:szCs w:val="24"/>
          <w:vertAlign w:val="superscript"/>
        </w:rPr>
        <w:footnoteReference w:id="23"/>
      </w:r>
      <w:r w:rsidRPr="00BD5BB8">
        <w:rPr>
          <w:rFonts w:ascii="Times New Roman" w:eastAsia="Times New Roman" w:hAnsi="Times New Roman" w:cs="Times New Roman"/>
          <w:color w:val="333333"/>
          <w:sz w:val="24"/>
          <w:szCs w:val="24"/>
        </w:rPr>
        <w:t>, се очаква д</w:t>
      </w:r>
      <w:r w:rsidR="004C6069" w:rsidRPr="00BD5BB8">
        <w:rPr>
          <w:rFonts w:ascii="Times New Roman" w:eastAsia="Times New Roman" w:hAnsi="Times New Roman" w:cs="Times New Roman"/>
          <w:color w:val="333333"/>
          <w:sz w:val="24"/>
          <w:szCs w:val="24"/>
        </w:rPr>
        <w:t xml:space="preserve">о 2050 г. един на всеки шест души в света ще е над 65-годишна възраст (16%), спрямо един на 11 през 2019 г. (9%). Регионите, в които делът на населението на възраст над 65 години се очаква да се удвои между 2019 и 2050 г., включват Северна Африка и Западна Азия, Централна и Южна Азия, Източна и Югоизточна Азия и Латинска Америка и Карибите. До 2050 г. всеки четвърти човек, живеещ в Европа и Северна Америка, може да е на възраст 65 и повече години. </w:t>
      </w:r>
    </w:p>
    <w:p w:rsidR="004C6069" w:rsidRPr="00BD5BB8" w:rsidRDefault="004C6069" w:rsidP="004C6069">
      <w:pPr>
        <w:spacing w:after="0" w:line="240" w:lineRule="auto"/>
        <w:ind w:firstLine="706"/>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През 2018 г. за първи път в историята лица на възраст над 65 години надхвърлят децата на възраст под пет години. Предвижда се броят на лицата на възраст над 80 години да се утрои, от 143 милиона през 2019 г. до 426 милиона през 2050 г.</w:t>
      </w:r>
    </w:p>
    <w:p w:rsidR="0092148B" w:rsidRPr="00BD5BB8" w:rsidRDefault="004C6069"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Коефициентът на потенциална подкрепа</w:t>
      </w:r>
      <w:r w:rsidR="003E58C0" w:rsidRPr="00BD5BB8">
        <w:rPr>
          <w:rFonts w:ascii="Myriad Pro" w:hAnsi="Myriad Pro" w:cs="Myriad Pro"/>
          <w:color w:val="000000"/>
        </w:rPr>
        <w:t xml:space="preserve"> </w:t>
      </w:r>
      <w:r w:rsidR="003E58C0" w:rsidRPr="00BD5BB8">
        <w:rPr>
          <w:rFonts w:cs="Myriad Pro"/>
          <w:color w:val="000000"/>
        </w:rPr>
        <w:t>(</w:t>
      </w:r>
      <w:r w:rsidR="003E58C0" w:rsidRPr="00BD5BB8">
        <w:rPr>
          <w:rFonts w:ascii="Times New Roman" w:eastAsia="Times New Roman" w:hAnsi="Times New Roman" w:cs="Times New Roman"/>
          <w:i/>
          <w:color w:val="333333"/>
          <w:sz w:val="24"/>
          <w:szCs w:val="24"/>
          <w:u w:val="single"/>
        </w:rPr>
        <w:t>The potential support ratio)</w:t>
      </w:r>
      <w:r w:rsidRPr="00BD5BB8">
        <w:rPr>
          <w:rFonts w:ascii="Times New Roman" w:eastAsia="Times New Roman" w:hAnsi="Times New Roman" w:cs="Times New Roman"/>
          <w:color w:val="333333"/>
          <w:sz w:val="24"/>
          <w:szCs w:val="24"/>
        </w:rPr>
        <w:t>, който сравнява броя на хората в трудоспособна възраст на възраст 25-64 години с тези на възраст над 65 години, пада по целия свят. В Япония това съотношение</w:t>
      </w:r>
      <w:r w:rsidR="0041431B" w:rsidRPr="00BD5BB8">
        <w:rPr>
          <w:rStyle w:val="FootnoteReference"/>
          <w:rFonts w:ascii="Times New Roman" w:eastAsia="Times New Roman" w:hAnsi="Times New Roman" w:cs="Times New Roman"/>
          <w:color w:val="333333"/>
          <w:sz w:val="24"/>
          <w:szCs w:val="24"/>
        </w:rPr>
        <w:footnoteReference w:id="24"/>
      </w:r>
      <w:r w:rsidRPr="00BD5BB8">
        <w:rPr>
          <w:rFonts w:ascii="Times New Roman" w:eastAsia="Times New Roman" w:hAnsi="Times New Roman" w:cs="Times New Roman"/>
          <w:color w:val="333333"/>
          <w:sz w:val="24"/>
          <w:szCs w:val="24"/>
        </w:rPr>
        <w:t xml:space="preserve"> е най-ниското в света</w:t>
      </w:r>
      <w:r w:rsidR="003E58C0" w:rsidRPr="00BD5BB8">
        <w:rPr>
          <w:rFonts w:ascii="Times New Roman" w:eastAsia="Times New Roman" w:hAnsi="Times New Roman" w:cs="Times New Roman"/>
          <w:color w:val="333333"/>
          <w:sz w:val="24"/>
          <w:szCs w:val="24"/>
        </w:rPr>
        <w:t xml:space="preserve"> – </w:t>
      </w:r>
      <w:r w:rsidR="0041431B" w:rsidRPr="00BD5BB8">
        <w:rPr>
          <w:rFonts w:ascii="Times New Roman" w:eastAsia="Times New Roman" w:hAnsi="Times New Roman" w:cs="Times New Roman"/>
          <w:color w:val="333333"/>
          <w:sz w:val="24"/>
          <w:szCs w:val="24"/>
        </w:rPr>
        <w:t>2.3, следвана от Италия с 2.9,</w:t>
      </w:r>
      <w:r w:rsidRPr="00BD5BB8">
        <w:rPr>
          <w:rFonts w:ascii="Times New Roman" w:eastAsia="Times New Roman" w:hAnsi="Times New Roman" w:cs="Times New Roman"/>
          <w:color w:val="333333"/>
          <w:sz w:val="24"/>
          <w:szCs w:val="24"/>
        </w:rPr>
        <w:t xml:space="preserve"> </w:t>
      </w:r>
      <w:r w:rsidR="0041431B" w:rsidRPr="00BD5BB8">
        <w:rPr>
          <w:rFonts w:ascii="Times New Roman" w:eastAsia="Times New Roman" w:hAnsi="Times New Roman" w:cs="Times New Roman"/>
          <w:color w:val="333333"/>
          <w:sz w:val="24"/>
          <w:szCs w:val="24"/>
        </w:rPr>
        <w:t>а 23</w:t>
      </w:r>
      <w:r w:rsidR="003E58C0" w:rsidRPr="00BD5BB8">
        <w:rPr>
          <w:rFonts w:ascii="Times New Roman" w:eastAsia="Times New Roman" w:hAnsi="Times New Roman" w:cs="Times New Roman"/>
          <w:color w:val="333333"/>
          <w:sz w:val="24"/>
          <w:szCs w:val="24"/>
        </w:rPr>
        <w:t xml:space="preserve"> държави (</w:t>
      </w:r>
      <w:r w:rsidR="0041431B" w:rsidRPr="00BD5BB8">
        <w:rPr>
          <w:rFonts w:ascii="Times New Roman" w:eastAsia="Times New Roman" w:hAnsi="Times New Roman" w:cs="Times New Roman"/>
          <w:color w:val="333333"/>
          <w:sz w:val="24"/>
          <w:szCs w:val="24"/>
        </w:rPr>
        <w:t>всичките в Европа</w:t>
      </w:r>
      <w:r w:rsidR="003E58C0" w:rsidRPr="00BD5BB8">
        <w:rPr>
          <w:rFonts w:ascii="Times New Roman" w:eastAsia="Times New Roman" w:hAnsi="Times New Roman" w:cs="Times New Roman"/>
          <w:color w:val="333333"/>
          <w:sz w:val="24"/>
          <w:szCs w:val="24"/>
        </w:rPr>
        <w:t>)</w:t>
      </w:r>
      <w:r w:rsidRPr="00BD5BB8">
        <w:rPr>
          <w:rFonts w:ascii="Times New Roman" w:eastAsia="Times New Roman" w:hAnsi="Times New Roman" w:cs="Times New Roman"/>
          <w:color w:val="333333"/>
          <w:sz w:val="24"/>
          <w:szCs w:val="24"/>
        </w:rPr>
        <w:t xml:space="preserve"> вече имат потенциални съотношения на подкреп</w:t>
      </w:r>
      <w:r w:rsidR="003E58C0" w:rsidRPr="00BD5BB8">
        <w:rPr>
          <w:rFonts w:ascii="Times New Roman" w:eastAsia="Times New Roman" w:hAnsi="Times New Roman" w:cs="Times New Roman"/>
          <w:color w:val="333333"/>
          <w:sz w:val="24"/>
          <w:szCs w:val="24"/>
        </w:rPr>
        <w:t xml:space="preserve">а под </w:t>
      </w:r>
      <w:r w:rsidR="0041431B" w:rsidRPr="00BD5BB8">
        <w:rPr>
          <w:rFonts w:ascii="Times New Roman" w:eastAsia="Times New Roman" w:hAnsi="Times New Roman" w:cs="Times New Roman"/>
          <w:color w:val="333333"/>
          <w:sz w:val="24"/>
          <w:szCs w:val="24"/>
        </w:rPr>
        <w:t>четири</w:t>
      </w:r>
      <w:r w:rsidR="003E58C0" w:rsidRPr="00BD5BB8">
        <w:rPr>
          <w:rFonts w:ascii="Times New Roman" w:eastAsia="Times New Roman" w:hAnsi="Times New Roman" w:cs="Times New Roman"/>
          <w:color w:val="333333"/>
          <w:sz w:val="24"/>
          <w:szCs w:val="24"/>
        </w:rPr>
        <w:t>. До 2050 г. 48 страни</w:t>
      </w:r>
      <w:r w:rsidRPr="00BD5BB8">
        <w:rPr>
          <w:rFonts w:ascii="Times New Roman" w:eastAsia="Times New Roman" w:hAnsi="Times New Roman" w:cs="Times New Roman"/>
          <w:color w:val="333333"/>
          <w:sz w:val="24"/>
          <w:szCs w:val="24"/>
        </w:rPr>
        <w:t xml:space="preserve"> </w:t>
      </w:r>
      <w:r w:rsidR="003E58C0" w:rsidRPr="00BD5BB8">
        <w:rPr>
          <w:rFonts w:ascii="Times New Roman" w:eastAsia="Times New Roman" w:hAnsi="Times New Roman" w:cs="Times New Roman"/>
          <w:color w:val="333333"/>
          <w:sz w:val="24"/>
          <w:szCs w:val="24"/>
        </w:rPr>
        <w:t>(</w:t>
      </w:r>
      <w:r w:rsidRPr="00BD5BB8">
        <w:rPr>
          <w:rFonts w:ascii="Times New Roman" w:eastAsia="Times New Roman" w:hAnsi="Times New Roman" w:cs="Times New Roman"/>
          <w:color w:val="333333"/>
          <w:sz w:val="24"/>
          <w:szCs w:val="24"/>
        </w:rPr>
        <w:t>най-вече в Европа, Северна Америка</w:t>
      </w:r>
      <w:r w:rsidR="002B6EEC" w:rsidRPr="00BD5BB8">
        <w:rPr>
          <w:rFonts w:ascii="Times New Roman" w:eastAsia="Times New Roman" w:hAnsi="Times New Roman" w:cs="Times New Roman"/>
          <w:color w:val="333333"/>
          <w:sz w:val="24"/>
          <w:szCs w:val="24"/>
        </w:rPr>
        <w:t>,</w:t>
      </w:r>
      <w:r w:rsidRPr="00BD5BB8">
        <w:rPr>
          <w:rFonts w:ascii="Times New Roman" w:eastAsia="Times New Roman" w:hAnsi="Times New Roman" w:cs="Times New Roman"/>
          <w:color w:val="333333"/>
          <w:sz w:val="24"/>
          <w:szCs w:val="24"/>
        </w:rPr>
        <w:t xml:space="preserve"> Източна и Югоизточна Азия</w:t>
      </w:r>
      <w:r w:rsidR="003E58C0" w:rsidRPr="00BD5BB8">
        <w:rPr>
          <w:rFonts w:ascii="Times New Roman" w:eastAsia="Times New Roman" w:hAnsi="Times New Roman" w:cs="Times New Roman"/>
          <w:color w:val="333333"/>
          <w:sz w:val="24"/>
          <w:szCs w:val="24"/>
        </w:rPr>
        <w:t>)</w:t>
      </w:r>
      <w:r w:rsidRPr="00BD5BB8">
        <w:rPr>
          <w:rFonts w:ascii="Times New Roman" w:eastAsia="Times New Roman" w:hAnsi="Times New Roman" w:cs="Times New Roman"/>
          <w:color w:val="333333"/>
          <w:sz w:val="24"/>
          <w:szCs w:val="24"/>
        </w:rPr>
        <w:t xml:space="preserve"> се очаква да имат потенциални съотношения на подкрепа под две. Тези ниски стойности подчертават потенциалното въздействие на застаряването на населението върху пазара на труда и икономическите резултати, както и фискалния натиск, с който много страни ще се сблъскат през следващите десетилетия, когато се стремят да изграждат и поддържат публичните системи за здравеопазване, пенсии и социална защита за възрастни лица.</w:t>
      </w:r>
    </w:p>
    <w:p w:rsidR="0092148B" w:rsidRPr="00BD5BB8" w:rsidRDefault="0092148B"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 xml:space="preserve">Възрастните хора във все по-голяма степен се разглеждат като активни участници в процесите на развитие. Тяхната способност да се трудят за благото на обществото и на самите себе си трябва да се превърне в неотменим елемент на политиките и програмите на всички равнища. </w:t>
      </w:r>
    </w:p>
    <w:p w:rsidR="0092148B" w:rsidRPr="00BD5BB8" w:rsidRDefault="0092148B" w:rsidP="0092148B">
      <w:pPr>
        <w:keepNext/>
        <w:keepLines/>
        <w:spacing w:after="0" w:line="240" w:lineRule="auto"/>
        <w:outlineLvl w:val="2"/>
        <w:rPr>
          <w:rFonts w:ascii="Times New Roman" w:eastAsiaTheme="majorEastAsia" w:hAnsi="Times New Roman" w:cs="Times New Roman"/>
          <w:b/>
          <w:bCs/>
          <w:color w:val="4F81BD" w:themeColor="accent1"/>
          <w:sz w:val="24"/>
          <w:szCs w:val="24"/>
        </w:rPr>
      </w:pPr>
    </w:p>
    <w:p w:rsidR="0092148B" w:rsidRPr="00BD5BB8" w:rsidRDefault="0092148B" w:rsidP="0092148B">
      <w:pPr>
        <w:keepNext/>
        <w:keepLines/>
        <w:spacing w:after="0" w:line="240" w:lineRule="auto"/>
        <w:jc w:val="center"/>
        <w:outlineLvl w:val="2"/>
        <w:rPr>
          <w:rFonts w:ascii="Times New Roman" w:eastAsiaTheme="majorEastAsia" w:hAnsi="Times New Roman" w:cs="Times New Roman"/>
          <w:b/>
          <w:bCs/>
          <w:color w:val="000000" w:themeColor="text1"/>
          <w:sz w:val="24"/>
          <w:szCs w:val="24"/>
        </w:rPr>
      </w:pPr>
      <w:r w:rsidRPr="00BD5BB8">
        <w:rPr>
          <w:rFonts w:ascii="Times New Roman" w:eastAsiaTheme="majorEastAsia" w:hAnsi="Times New Roman" w:cs="Times New Roman"/>
          <w:b/>
          <w:bCs/>
          <w:color w:val="000000" w:themeColor="text1"/>
          <w:sz w:val="24"/>
          <w:szCs w:val="24"/>
        </w:rPr>
        <w:t xml:space="preserve">Демографски фактори, които ще продължават </w:t>
      </w:r>
    </w:p>
    <w:p w:rsidR="0092148B" w:rsidRPr="00BD5BB8" w:rsidRDefault="0092148B" w:rsidP="0092148B">
      <w:pPr>
        <w:keepNext/>
        <w:keepLines/>
        <w:spacing w:after="0" w:line="240" w:lineRule="auto"/>
        <w:jc w:val="center"/>
        <w:outlineLvl w:val="2"/>
        <w:rPr>
          <w:rFonts w:ascii="Times New Roman" w:eastAsiaTheme="majorEastAsia" w:hAnsi="Times New Roman" w:cs="Times New Roman"/>
          <w:b/>
          <w:bCs/>
          <w:color w:val="000000" w:themeColor="text1"/>
          <w:sz w:val="24"/>
          <w:szCs w:val="24"/>
        </w:rPr>
      </w:pPr>
      <w:r w:rsidRPr="00BD5BB8">
        <w:rPr>
          <w:rFonts w:ascii="Times New Roman" w:eastAsiaTheme="majorEastAsia" w:hAnsi="Times New Roman" w:cs="Times New Roman"/>
          <w:b/>
          <w:bCs/>
          <w:color w:val="000000" w:themeColor="text1"/>
          <w:sz w:val="24"/>
          <w:szCs w:val="24"/>
        </w:rPr>
        <w:t>да обуславят стареенето на населението</w:t>
      </w:r>
    </w:p>
    <w:p w:rsidR="0092148B" w:rsidRPr="00BD5BB8" w:rsidRDefault="0092148B" w:rsidP="0092148B">
      <w:pPr>
        <w:spacing w:after="0" w:line="240" w:lineRule="auto"/>
        <w:jc w:val="both"/>
        <w:rPr>
          <w:rFonts w:ascii="Times New Roman" w:eastAsia="Times New Roman" w:hAnsi="Times New Roman" w:cs="Times New Roman"/>
          <w:color w:val="000000" w:themeColor="text1"/>
          <w:sz w:val="24"/>
          <w:szCs w:val="24"/>
        </w:rPr>
      </w:pPr>
    </w:p>
    <w:p w:rsidR="0092148B" w:rsidRPr="00BD5BB8" w:rsidRDefault="0092148B"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Броят и възрастовият състав на населението зависи едновременно от три демографски процеса: раждаемост, смъртност и миграция.</w:t>
      </w:r>
    </w:p>
    <w:p w:rsidR="0092148B" w:rsidRPr="00BD5BB8" w:rsidRDefault="0092148B"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lastRenderedPageBreak/>
        <w:t xml:space="preserve">След 1950 година във всички региони на света е регистрирано значително увеличаване на продължителността на живота. Така както и повишаване на очакваната продължителност на живота при раждане, намаляване на показателите за смъртност във високите възрастови групи се отразяват положително върху общите показатели на дълголетието. </w:t>
      </w:r>
    </w:p>
    <w:p w:rsidR="0092148B" w:rsidRPr="00BD5BB8" w:rsidRDefault="0092148B"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 xml:space="preserve">Въпреки, че намаляването на раждаемостта и увеличаването на продължителността на живота са ключови фактори за стареене на населението в целия свят, международната миграция също води до промяна във възрастовата структура на населението в редица страни и региони. </w:t>
      </w:r>
    </w:p>
    <w:p w:rsidR="0092148B" w:rsidRPr="00BD5BB8" w:rsidRDefault="0092148B" w:rsidP="0092148B">
      <w:pPr>
        <w:spacing w:after="0" w:line="240" w:lineRule="auto"/>
        <w:ind w:firstLine="708"/>
        <w:jc w:val="both"/>
        <w:rPr>
          <w:rFonts w:ascii="Times New Roman" w:eastAsia="Times New Roman" w:hAnsi="Times New Roman" w:cs="Times New Roman"/>
          <w:color w:val="333333"/>
          <w:sz w:val="24"/>
          <w:szCs w:val="24"/>
        </w:rPr>
      </w:pPr>
      <w:r w:rsidRPr="00BD5BB8">
        <w:rPr>
          <w:rFonts w:ascii="Times New Roman" w:eastAsia="Times New Roman" w:hAnsi="Times New Roman" w:cs="Times New Roman"/>
          <w:color w:val="333333"/>
          <w:sz w:val="24"/>
          <w:szCs w:val="24"/>
        </w:rPr>
        <w:t>В страните, приемащи голям брой мигранти, може да протече забавяне на показателите на стареене на населението, или поне временно, тъй като мигрантите - като правило са хора в млада трудоспособна възраст. Независимо от това, мигрантите, които остават в страната, в края на краищата също стават възрастни.</w:t>
      </w:r>
    </w:p>
    <w:p w:rsidR="0092148B" w:rsidRPr="00BD5BB8" w:rsidRDefault="0092148B" w:rsidP="0092148B">
      <w:pPr>
        <w:spacing w:after="0" w:line="240" w:lineRule="auto"/>
        <w:jc w:val="both"/>
        <w:rPr>
          <w:rFonts w:ascii="Times New Roman" w:hAnsi="Times New Roman" w:cs="Times New Roman"/>
          <w:sz w:val="24"/>
          <w:szCs w:val="24"/>
        </w:rPr>
      </w:pPr>
    </w:p>
    <w:p w:rsidR="0092148B" w:rsidRPr="00BD5BB8" w:rsidRDefault="0092148B" w:rsidP="0092148B">
      <w:pPr>
        <w:keepNext/>
        <w:keepLines/>
        <w:spacing w:after="0" w:line="240" w:lineRule="auto"/>
        <w:jc w:val="center"/>
        <w:outlineLvl w:val="2"/>
        <w:rPr>
          <w:rFonts w:ascii="Times New Roman" w:eastAsiaTheme="majorEastAsia" w:hAnsi="Times New Roman" w:cs="Times New Roman"/>
          <w:b/>
          <w:bCs/>
          <w:color w:val="000000" w:themeColor="text1"/>
          <w:sz w:val="24"/>
          <w:szCs w:val="24"/>
        </w:rPr>
      </w:pPr>
      <w:r w:rsidRPr="00BD5BB8">
        <w:rPr>
          <w:rFonts w:ascii="Times New Roman" w:eastAsiaTheme="majorEastAsia" w:hAnsi="Times New Roman" w:cs="Times New Roman"/>
          <w:b/>
          <w:bCs/>
          <w:color w:val="000000" w:themeColor="text1"/>
          <w:sz w:val="24"/>
          <w:szCs w:val="24"/>
        </w:rPr>
        <w:t xml:space="preserve">Пътят напред </w:t>
      </w:r>
    </w:p>
    <w:p w:rsidR="0092148B" w:rsidRPr="00BD5BB8" w:rsidRDefault="0092148B" w:rsidP="0092148B">
      <w:pPr>
        <w:spacing w:after="0" w:line="240" w:lineRule="auto"/>
        <w:jc w:val="center"/>
      </w:pPr>
    </w:p>
    <w:p w:rsidR="0092148B" w:rsidRPr="00BD5BB8" w:rsidRDefault="0092148B" w:rsidP="003E58C0">
      <w:pPr>
        <w:spacing w:after="0" w:line="240" w:lineRule="auto"/>
        <w:ind w:firstLine="708"/>
        <w:jc w:val="both"/>
        <w:rPr>
          <w:rFonts w:ascii="Times New Roman" w:hAnsi="Times New Roman" w:cs="Times New Roman"/>
          <w:sz w:val="24"/>
          <w:szCs w:val="24"/>
        </w:rPr>
      </w:pPr>
      <w:r w:rsidRPr="00BD5BB8">
        <w:rPr>
          <w:rFonts w:ascii="Times New Roman" w:hAnsi="Times New Roman" w:cs="Times New Roman"/>
          <w:sz w:val="24"/>
          <w:szCs w:val="24"/>
        </w:rPr>
        <w:t>ЕС и неговите държави членки, както и социалните партньори, гражданското общество, частният сектор и всички имащи отношение заинтересовани страни следва да работят заедно на европейско, национално, регионално и местно равнище, като полагат усилия да осигурят по-добри възможности на възрастните хора да останат активни и да участват в обществото заедно с по-младите поколения.</w:t>
      </w:r>
    </w:p>
    <w:p w:rsidR="0092148B" w:rsidRPr="00BD5BB8" w:rsidRDefault="0092148B" w:rsidP="003E58C0">
      <w:pPr>
        <w:autoSpaceDE w:val="0"/>
        <w:autoSpaceDN w:val="0"/>
        <w:adjustRightInd w:val="0"/>
        <w:spacing w:after="0" w:line="240" w:lineRule="auto"/>
        <w:jc w:val="both"/>
        <w:rPr>
          <w:rFonts w:ascii="Times New Roman" w:hAnsi="Times New Roman" w:cs="Times New Roman"/>
          <w:sz w:val="24"/>
          <w:szCs w:val="24"/>
        </w:rPr>
      </w:pPr>
      <w:r w:rsidRPr="00BD5BB8">
        <w:rPr>
          <w:rFonts w:ascii="TimesNewRomanPSMT" w:hAnsi="TimesNewRomanPSMT" w:cs="TimesNewRomanPSMT"/>
          <w:sz w:val="24"/>
          <w:szCs w:val="24"/>
        </w:rPr>
        <w:t>В Декларацията на Съвета относно Европейската година на активния живот на</w:t>
      </w:r>
      <w:r w:rsidR="003E58C0" w:rsidRPr="00BD5BB8">
        <w:rPr>
          <w:rFonts w:ascii="TimesNewRomanPSMT" w:hAnsi="TimesNewRomanPSMT" w:cs="TimesNewRomanPSMT"/>
          <w:sz w:val="24"/>
          <w:szCs w:val="24"/>
        </w:rPr>
        <w:t xml:space="preserve"> </w:t>
      </w:r>
      <w:r w:rsidRPr="00BD5BB8">
        <w:rPr>
          <w:rFonts w:ascii="TimesNewRomanPSMT" w:hAnsi="TimesNewRomanPSMT" w:cs="TimesNewRomanPSMT"/>
          <w:sz w:val="24"/>
          <w:szCs w:val="24"/>
        </w:rPr>
        <w:t>възрастните хора и солидарността между поколенията (2012 г.): Пътят напред</w:t>
      </w:r>
      <w:r w:rsidRPr="00BD5BB8">
        <w:rPr>
          <w:rFonts w:ascii="TimesNewRomanPSMT" w:hAnsi="TimesNewRomanPSMT" w:cs="TimesNewRomanPSMT"/>
          <w:sz w:val="20"/>
          <w:szCs w:val="20"/>
          <w:vertAlign w:val="superscript"/>
        </w:rPr>
        <w:footnoteReference w:id="25"/>
      </w:r>
      <w:r w:rsidRPr="00BD5BB8">
        <w:rPr>
          <w:rFonts w:ascii="TimesNewRomanPSMT" w:hAnsi="TimesNewRomanPSMT" w:cs="TimesNewRomanPSMT"/>
          <w:sz w:val="24"/>
          <w:szCs w:val="24"/>
        </w:rPr>
        <w:t xml:space="preserve"> са представени ръководните принципи и насоки за бъдещи действия, а именно:</w:t>
      </w:r>
    </w:p>
    <w:p w:rsidR="0092148B" w:rsidRPr="00BD5BB8" w:rsidRDefault="0092148B" w:rsidP="0092148B">
      <w:pPr>
        <w:spacing w:after="0" w:line="240" w:lineRule="auto"/>
        <w:ind w:firstLine="708"/>
        <w:jc w:val="both"/>
        <w:rPr>
          <w:rFonts w:ascii="Times New Roman" w:hAnsi="Times New Roman" w:cs="Times New Roman"/>
          <w:sz w:val="24"/>
          <w:szCs w:val="24"/>
        </w:rPr>
      </w:pPr>
    </w:p>
    <w:p w:rsidR="0092148B" w:rsidRPr="00BD5BB8" w:rsidRDefault="0092148B" w:rsidP="0092148B">
      <w:pPr>
        <w:autoSpaceDE w:val="0"/>
        <w:autoSpaceDN w:val="0"/>
        <w:adjustRightInd w:val="0"/>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Ръководни принципи за активен живот на възрастните хора</w:t>
      </w:r>
    </w:p>
    <w:p w:rsidR="0092148B" w:rsidRPr="00BD5BB8" w:rsidRDefault="0092148B" w:rsidP="0092148B">
      <w:pPr>
        <w:autoSpaceDE w:val="0"/>
        <w:autoSpaceDN w:val="0"/>
        <w:adjustRightInd w:val="0"/>
        <w:spacing w:after="0" w:line="240" w:lineRule="auto"/>
        <w:jc w:val="center"/>
        <w:rPr>
          <w:rFonts w:ascii="Times New Roman" w:hAnsi="Times New Roman" w:cs="Times New Roman"/>
          <w:b/>
          <w:bCs/>
          <w:sz w:val="24"/>
          <w:szCs w:val="24"/>
        </w:rPr>
      </w:pPr>
      <w:r w:rsidRPr="00BD5BB8">
        <w:rPr>
          <w:rFonts w:ascii="Times New Roman" w:hAnsi="Times New Roman" w:cs="Times New Roman"/>
          <w:b/>
          <w:bCs/>
          <w:sz w:val="24"/>
          <w:szCs w:val="24"/>
        </w:rPr>
        <w:t>и солидарност между поколенията</w:t>
      </w:r>
    </w:p>
    <w:p w:rsidR="0092148B" w:rsidRPr="00BD5BB8" w:rsidRDefault="0092148B" w:rsidP="0092148B">
      <w:pPr>
        <w:autoSpaceDE w:val="0"/>
        <w:autoSpaceDN w:val="0"/>
        <w:adjustRightInd w:val="0"/>
        <w:spacing w:after="0" w:line="240" w:lineRule="auto"/>
        <w:jc w:val="both"/>
        <w:rPr>
          <w:rFonts w:ascii="Times New Roman" w:hAnsi="Times New Roman" w:cs="Times New Roman"/>
          <w:b/>
          <w:bCs/>
          <w:sz w:val="24"/>
          <w:szCs w:val="24"/>
        </w:rPr>
      </w:pPr>
      <w:r w:rsidRPr="00BD5BB8">
        <w:rPr>
          <w:rFonts w:ascii="Times New Roman" w:hAnsi="Times New Roman" w:cs="Times New Roman"/>
          <w:b/>
          <w:bCs/>
          <w:sz w:val="24"/>
          <w:szCs w:val="24"/>
        </w:rPr>
        <w:t>(1) Заетост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Непрекъснато професионалното образование и обучение: </w:t>
      </w:r>
      <w:r w:rsidRPr="00BD5BB8">
        <w:rPr>
          <w:rFonts w:ascii="Times New Roman" w:eastAsia="Times New Roman" w:hAnsi="Times New Roman" w:cs="Times New Roman"/>
          <w:sz w:val="24"/>
          <w:szCs w:val="24"/>
          <w:lang w:eastAsia="bg-BG"/>
        </w:rPr>
        <w:t>Предоставяне на жените и мъжете от всички възрасти на достъп до и участие в образованието, обучението и развитието на уменията, с което да им се даде възможност да се влеят (отново) в пазара на труда за качествени работни места и да участват в него.</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Здравословни условия на работното място: </w:t>
      </w:r>
      <w:r w:rsidRPr="00BD5BB8">
        <w:rPr>
          <w:rFonts w:ascii="Times New Roman" w:eastAsia="Times New Roman" w:hAnsi="Times New Roman" w:cs="Times New Roman"/>
          <w:sz w:val="24"/>
          <w:szCs w:val="24"/>
          <w:lang w:eastAsia="bg-BG"/>
        </w:rPr>
        <w:t>Насърчаване на условия на работното място и на работна среда, които да поддържат здравето и благополучието на работниците, като по този начин се осигури тяхната пригодност за заетост през целия живот.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Стратегии за управление във връзка с възрастта: </w:t>
      </w:r>
      <w:r w:rsidRPr="00BD5BB8">
        <w:rPr>
          <w:rFonts w:ascii="Times New Roman" w:eastAsia="Times New Roman" w:hAnsi="Times New Roman" w:cs="Times New Roman"/>
          <w:sz w:val="24"/>
          <w:szCs w:val="24"/>
          <w:lang w:eastAsia="bg-BG"/>
        </w:rPr>
        <w:t>Адаптиране на кариерното развитие и на работните условия към променящите се нужди на работниците съобразно напредването на възрастта, като по този начин се избегне преждевременното пенсиониране.</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Услуги за възрастни работници във връзка със заетостта: </w:t>
      </w:r>
      <w:r w:rsidRPr="00BD5BB8">
        <w:rPr>
          <w:rFonts w:ascii="Times New Roman" w:eastAsia="Times New Roman" w:hAnsi="Times New Roman" w:cs="Times New Roman"/>
          <w:sz w:val="24"/>
          <w:szCs w:val="24"/>
          <w:lang w:eastAsia="bg-BG"/>
        </w:rPr>
        <w:t>Осигуряване на консултации, на подходящо място, на подкрепа за реинтегриране на възрастни работници, които желаят да останат на пазара на труда.</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Превенция на дискриминацията на възрастов признак: </w:t>
      </w:r>
      <w:r w:rsidRPr="00BD5BB8">
        <w:rPr>
          <w:rFonts w:ascii="Times New Roman" w:eastAsia="Times New Roman" w:hAnsi="Times New Roman" w:cs="Times New Roman"/>
          <w:sz w:val="24"/>
          <w:szCs w:val="24"/>
          <w:lang w:eastAsia="bg-BG"/>
        </w:rPr>
        <w:t xml:space="preserve">Осигуряване на равни права за възрастните работници на пазара на труда, избягване на употребата на възрастта като решаващ критерий, когато се прави преценка дали даден работник е </w:t>
      </w:r>
      <w:r w:rsidRPr="00BD5BB8">
        <w:rPr>
          <w:rFonts w:ascii="Times New Roman" w:eastAsia="Times New Roman" w:hAnsi="Times New Roman" w:cs="Times New Roman"/>
          <w:sz w:val="24"/>
          <w:szCs w:val="24"/>
          <w:lang w:eastAsia="bg-BG"/>
        </w:rPr>
        <w:lastRenderedPageBreak/>
        <w:t>подходящ за определено работно място или не; избягване на отрицателните стереотипи, свързани с възрастта, и на дискриминационното отношение към по-възрастните работници на работното място; изтъкване на приноса, който възрастните работници дават.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Данъчни системи/системи за обезщетения, благоприятстващи заетостта:</w:t>
      </w:r>
    </w:p>
    <w:p w:rsidR="0092148B" w:rsidRPr="00BD5BB8" w:rsidRDefault="0092148B" w:rsidP="0092148B">
      <w:pPr>
        <w:autoSpaceDE w:val="0"/>
        <w:autoSpaceDN w:val="0"/>
        <w:adjustRightInd w:val="0"/>
        <w:spacing w:after="0" w:line="240" w:lineRule="auto"/>
        <w:jc w:val="both"/>
        <w:rPr>
          <w:rFonts w:ascii="Times New Roman" w:hAnsi="Times New Roman" w:cs="Times New Roman"/>
          <w:sz w:val="24"/>
          <w:szCs w:val="24"/>
        </w:rPr>
      </w:pPr>
      <w:r w:rsidRPr="00BD5BB8">
        <w:rPr>
          <w:rFonts w:ascii="Times New Roman" w:hAnsi="Times New Roman" w:cs="Times New Roman"/>
          <w:sz w:val="24"/>
          <w:szCs w:val="24"/>
        </w:rPr>
        <w:t>Извършване на преглед на данъчните системи и на системите за обезщетения, за да се гарантира, че възрастните работници получават възнаграждение за труда си, като същевременно се осигурят адекватни равнища на обезщетения.</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Прехвърляне на опит: </w:t>
      </w:r>
      <w:r w:rsidRPr="00BD5BB8">
        <w:rPr>
          <w:rFonts w:ascii="Times New Roman" w:eastAsia="Times New Roman" w:hAnsi="Times New Roman" w:cs="Times New Roman"/>
          <w:sz w:val="24"/>
          <w:szCs w:val="24"/>
          <w:lang w:eastAsia="bg-BG"/>
        </w:rPr>
        <w:t>Използване на знанията и уменията на по-възрастните работници чрез настойничество и създаване на различни по възрастов състав екипи.</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Съвместяване на работа и грижи: </w:t>
      </w:r>
      <w:r w:rsidRPr="00BD5BB8">
        <w:rPr>
          <w:rFonts w:ascii="Times New Roman" w:eastAsia="Times New Roman" w:hAnsi="Times New Roman" w:cs="Times New Roman"/>
          <w:sz w:val="24"/>
          <w:szCs w:val="24"/>
          <w:lang w:eastAsia="bg-BG"/>
        </w:rPr>
        <w:t>Адаптиране на работните условия и предоставяне на възможности за отпуск, подходящи за жените и мъжете, които да им позволяват, когато полагат грижи за някого, да запазят своята заетост или да се върнат на пазара на труда.</w:t>
      </w:r>
    </w:p>
    <w:p w:rsidR="0092148B" w:rsidRPr="00BD5BB8" w:rsidRDefault="0092148B" w:rsidP="0092148B">
      <w:pPr>
        <w:autoSpaceDE w:val="0"/>
        <w:autoSpaceDN w:val="0"/>
        <w:adjustRightInd w:val="0"/>
        <w:spacing w:after="0" w:line="240" w:lineRule="auto"/>
        <w:jc w:val="both"/>
        <w:rPr>
          <w:rFonts w:ascii="Times New Roman" w:hAnsi="Times New Roman" w:cs="Times New Roman"/>
          <w:b/>
          <w:bCs/>
          <w:sz w:val="24"/>
          <w:szCs w:val="24"/>
        </w:rPr>
      </w:pPr>
      <w:r w:rsidRPr="00BD5BB8">
        <w:rPr>
          <w:rFonts w:ascii="Times New Roman" w:hAnsi="Times New Roman" w:cs="Times New Roman"/>
          <w:b/>
          <w:bCs/>
          <w:sz w:val="24"/>
          <w:szCs w:val="24"/>
        </w:rPr>
        <w:t>(2) Участие в обществото</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Сигурност на доходите: </w:t>
      </w:r>
      <w:r w:rsidRPr="00BD5BB8">
        <w:rPr>
          <w:rFonts w:ascii="Times New Roman" w:eastAsia="Times New Roman" w:hAnsi="Times New Roman" w:cs="Times New Roman"/>
          <w:sz w:val="24"/>
          <w:szCs w:val="24"/>
          <w:lang w:eastAsia="bg-BG"/>
        </w:rPr>
        <w:t>Създаване на системи, които осигуряват подходящи доходи на възрастните хора, като запазват тяхната финансова самостоятелност и им дават възможност да водят достоен живот.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Социално приобщаване: </w:t>
      </w:r>
      <w:r w:rsidRPr="00BD5BB8">
        <w:rPr>
          <w:rFonts w:ascii="Times New Roman" w:eastAsia="Times New Roman" w:hAnsi="Times New Roman" w:cs="Times New Roman"/>
          <w:sz w:val="24"/>
          <w:szCs w:val="24"/>
          <w:lang w:eastAsia="bg-BG"/>
        </w:rPr>
        <w:t>Борба със социалното изключване и изолацията на възрастните хора, като им се предоставят равни възможности за участие в обществения живот посредством културни, политически и социални дейности.</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Доброволческа дейност на възрастните хора: </w:t>
      </w:r>
      <w:r w:rsidRPr="00BD5BB8">
        <w:rPr>
          <w:rFonts w:ascii="Times New Roman" w:eastAsia="Times New Roman" w:hAnsi="Times New Roman" w:cs="Times New Roman"/>
          <w:sz w:val="24"/>
          <w:szCs w:val="24"/>
          <w:lang w:eastAsia="bg-BG"/>
        </w:rPr>
        <w:t>Създаване на по-добра среда за доброволческа дейност на възрастните хора и премахване на съществуващите пречки пред това те да могат да дават своя принос към обществото, като използват своите способности, умения и опит.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Учене през целия живот: </w:t>
      </w:r>
      <w:r w:rsidRPr="00BD5BB8">
        <w:rPr>
          <w:rFonts w:ascii="Times New Roman" w:eastAsia="Times New Roman" w:hAnsi="Times New Roman" w:cs="Times New Roman"/>
          <w:sz w:val="24"/>
          <w:szCs w:val="24"/>
          <w:lang w:eastAsia="bg-BG"/>
        </w:rPr>
        <w:t>Осигуряване на възможности за обучение на възрастните хора, по-специално в области като информационните и комуникационни технологии (ИКТ), индивидуалните грижи и личните финанси, които да им дават възможност да участват активно в обществото и да водят самостоятелен начин на живот.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Участие в процесите на вземане на решения: </w:t>
      </w:r>
      <w:r w:rsidRPr="00BD5BB8">
        <w:rPr>
          <w:rFonts w:ascii="Times New Roman" w:eastAsia="Times New Roman" w:hAnsi="Times New Roman" w:cs="Times New Roman"/>
          <w:sz w:val="24"/>
          <w:szCs w:val="24"/>
          <w:lang w:eastAsia="bg-BG"/>
        </w:rPr>
        <w:t>Поддържане участието на възрастните жени и мъже в процесите на вземане на решения, особено в области, които пряко ги засягат.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sz w:val="24"/>
          <w:szCs w:val="24"/>
          <w:lang w:eastAsia="bg-BG"/>
        </w:rPr>
      </w:pPr>
      <w:r w:rsidRPr="00BD5BB8">
        <w:rPr>
          <w:rFonts w:ascii="Times New Roman" w:eastAsia="Times New Roman" w:hAnsi="Times New Roman" w:cs="Times New Roman"/>
          <w:bCs/>
          <w:sz w:val="24"/>
          <w:szCs w:val="24"/>
          <w:lang w:eastAsia="bg-BG"/>
        </w:rPr>
        <w:t xml:space="preserve">Подкрепа за лицата, занимаващи се непрофесионално с полагането на грижи: </w:t>
      </w:r>
      <w:r w:rsidRPr="00BD5BB8">
        <w:rPr>
          <w:rFonts w:ascii="Times New Roman" w:eastAsia="Times New Roman" w:hAnsi="Times New Roman" w:cs="Times New Roman"/>
          <w:sz w:val="24"/>
          <w:szCs w:val="24"/>
          <w:lang w:eastAsia="bg-BG"/>
        </w:rPr>
        <w:t>Осигуряване на професионална подкрепа и обучение за лицата, занимаващи се непрофесионално с полагането на грижи; осигуряване на отдих и подходяща социална защита с цел предотвратяване на социалното изключване на хората, занимаващи се с полагането на грижи.</w:t>
      </w:r>
    </w:p>
    <w:p w:rsidR="0092148B" w:rsidRPr="00BD5BB8" w:rsidRDefault="0092148B" w:rsidP="0092148B">
      <w:pPr>
        <w:autoSpaceDE w:val="0"/>
        <w:autoSpaceDN w:val="0"/>
        <w:adjustRightInd w:val="0"/>
        <w:spacing w:after="0" w:line="240" w:lineRule="auto"/>
        <w:jc w:val="both"/>
        <w:rPr>
          <w:rFonts w:ascii="Times New Roman" w:hAnsi="Times New Roman" w:cs="Times New Roman"/>
          <w:b/>
          <w:bCs/>
          <w:sz w:val="24"/>
          <w:szCs w:val="24"/>
        </w:rPr>
      </w:pPr>
      <w:r w:rsidRPr="00BD5BB8">
        <w:rPr>
          <w:rFonts w:ascii="Times New Roman" w:hAnsi="Times New Roman" w:cs="Times New Roman"/>
          <w:b/>
          <w:bCs/>
          <w:sz w:val="24"/>
          <w:szCs w:val="24"/>
        </w:rPr>
        <w:t>(3) Самостоятелен живот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Насърчаване на грижите за здравето и превенция на заболяванията: Вземане на мерки за максимално удължаване на годините живот в добро здраве за жените и мъжете и за намаляване на риска от изпадане в състояние на зависимост чрез насърчаване на грижите за здравето и превенция на заболяванията. Предоставяне на възможности за физическа и умствена дейност в зависимост от състоянието на възрастните хора.</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Подходящи жилищни условия и услуги: Адаптиране на жилищните условия и осигуряване на услуги, които да дават възможност на възрастните хора със здравословни проблеми да живеят при възможно най-голяма степен на самостоятелност.</w:t>
      </w:r>
    </w:p>
    <w:p w:rsidR="0092148B" w:rsidRPr="00BD5BB8" w:rsidRDefault="0092148B"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lastRenderedPageBreak/>
        <w:t>Достъпен транспорт: Адаптиране на транспортните системи, за да станат те достъпни, безопасни и сигурни за възрастните хора, като им дават възможност да запазят своята самостоятелност и да участват активно в обществото.</w:t>
      </w:r>
    </w:p>
    <w:p w:rsidR="00915899" w:rsidRPr="00BD5BB8" w:rsidRDefault="00915899"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Среда, стоки и услуги, благоприятстващи активния живот на възрастните хора: Адаптиране на местната среда, както и на стоките и услугите, така че те да бъдат подходящи за хората от всички възрасти (подход на проектиране за всички), по-специално чрез използване на новите технологии, включително електронното здравеопазване; предотвратяване на дискриминацията на признак възраст по отношение на достъпа до стоки и услуги.</w:t>
      </w:r>
    </w:p>
    <w:p w:rsidR="0092148B" w:rsidRPr="00BD5BB8" w:rsidRDefault="00915899" w:rsidP="00E7186B">
      <w:pPr>
        <w:numPr>
          <w:ilvl w:val="0"/>
          <w:numId w:val="11"/>
        </w:numPr>
        <w:autoSpaceDE w:val="0"/>
        <w:autoSpaceDN w:val="0"/>
        <w:adjustRightInd w:val="0"/>
        <w:spacing w:after="0" w:line="240" w:lineRule="auto"/>
        <w:ind w:left="0" w:firstLine="0"/>
        <w:contextualSpacing/>
        <w:jc w:val="both"/>
        <w:rPr>
          <w:rFonts w:ascii="Times New Roman" w:eastAsia="Times New Roman" w:hAnsi="Times New Roman" w:cs="Times New Roman"/>
          <w:bCs/>
          <w:sz w:val="24"/>
          <w:szCs w:val="24"/>
          <w:lang w:eastAsia="bg-BG"/>
        </w:rPr>
      </w:pPr>
      <w:r w:rsidRPr="00BD5BB8">
        <w:rPr>
          <w:rFonts w:ascii="Times New Roman" w:eastAsia="Times New Roman" w:hAnsi="Times New Roman" w:cs="Times New Roman"/>
          <w:bCs/>
          <w:sz w:val="24"/>
          <w:szCs w:val="24"/>
          <w:lang w:eastAsia="bg-BG"/>
        </w:rPr>
        <w:t>Максимална степен на самостоятелност при дългосрочни грижи: Да се направи необходимото самостоятелността и участието на хората, нуждаещи се от помощ/грижи, да бъдат увеличени, съхранени или възстановени във възможно най-голяма степен, както и тези хора да бъдат третирани с достойнство и съчувствие.</w:t>
      </w:r>
    </w:p>
    <w:p w:rsidR="00915899" w:rsidRPr="00BD5BB8" w:rsidRDefault="00915899" w:rsidP="00915899">
      <w:pPr>
        <w:autoSpaceDE w:val="0"/>
        <w:autoSpaceDN w:val="0"/>
        <w:adjustRightInd w:val="0"/>
        <w:spacing w:after="0" w:line="240" w:lineRule="auto"/>
        <w:rPr>
          <w:rFonts w:ascii="Times New Roman" w:hAnsi="Times New Roman" w:cs="Times New Roman"/>
          <w:sz w:val="24"/>
          <w:szCs w:val="24"/>
        </w:rPr>
      </w:pPr>
    </w:p>
    <w:p w:rsidR="0092148B" w:rsidRPr="00BD5BB8" w:rsidRDefault="0092148B" w:rsidP="0092148B">
      <w:pPr>
        <w:autoSpaceDE w:val="0"/>
        <w:autoSpaceDN w:val="0"/>
        <w:adjustRightInd w:val="0"/>
        <w:spacing w:after="0" w:line="240" w:lineRule="auto"/>
        <w:ind w:firstLine="709"/>
        <w:jc w:val="both"/>
        <w:rPr>
          <w:rFonts w:ascii="Times New Roman" w:eastAsia="Times New Roman" w:hAnsi="Times New Roman" w:cs="Times New Roman"/>
          <w:b/>
          <w:color w:val="000000"/>
          <w:sz w:val="24"/>
          <w:szCs w:val="24"/>
          <w:lang w:eastAsia="bg-BG"/>
        </w:rPr>
      </w:pPr>
      <w:r w:rsidRPr="00BD5BB8">
        <w:rPr>
          <w:rFonts w:ascii="Times New Roman" w:eastAsia="Times New Roman" w:hAnsi="Times New Roman" w:cs="Times New Roman"/>
          <w:b/>
          <w:color w:val="000000"/>
          <w:sz w:val="24"/>
          <w:szCs w:val="24"/>
          <w:lang w:eastAsia="bg-BG"/>
        </w:rPr>
        <w:t>Наследството на Европейската година </w:t>
      </w:r>
      <w:r w:rsidRPr="00BD5BB8">
        <w:rPr>
          <w:rFonts w:ascii="Times New Roman" w:eastAsia="Times New Roman" w:hAnsi="Times New Roman" w:cs="Times New Roman"/>
          <w:color w:val="000000"/>
          <w:sz w:val="24"/>
          <w:szCs w:val="24"/>
          <w:lang w:eastAsia="bg-BG"/>
        </w:rPr>
        <w:t xml:space="preserve">– </w:t>
      </w:r>
      <w:r w:rsidRPr="00BD5BB8">
        <w:rPr>
          <w:rFonts w:ascii="Times New Roman" w:eastAsia="Times New Roman" w:hAnsi="Times New Roman" w:cs="Times New Roman"/>
          <w:b/>
          <w:color w:val="000000"/>
          <w:sz w:val="24"/>
          <w:szCs w:val="24"/>
          <w:lang w:eastAsia="bg-BG"/>
        </w:rPr>
        <w:t xml:space="preserve">2012 трябва да бъде запазено и доразвито на европейско, национално, регионално и местно равнище съгласно насоките, очертани в „Ръководните принципи за активен живот на възрастните хора и солидарност между поколенията“. Необходимо е предприемане на действия за адаптиране на политиката в сферата на заетостта, насърчаване на социалното участие и предоставяне на условия за самостоятелен живот.  </w:t>
      </w:r>
    </w:p>
    <w:p w:rsidR="0092148B" w:rsidRPr="009A56A1" w:rsidRDefault="0092148B" w:rsidP="0092148B">
      <w:pPr>
        <w:autoSpaceDE w:val="0"/>
        <w:autoSpaceDN w:val="0"/>
        <w:adjustRightInd w:val="0"/>
        <w:spacing w:after="0" w:line="240" w:lineRule="auto"/>
        <w:ind w:firstLine="709"/>
        <w:jc w:val="both"/>
        <w:rPr>
          <w:rFonts w:ascii="Times New Roman" w:eastAsia="TimesNewRoman" w:hAnsi="Times New Roman" w:cs="Times New Roman"/>
          <w:b/>
          <w:color w:val="000000"/>
          <w:sz w:val="24"/>
          <w:szCs w:val="24"/>
          <w:lang w:eastAsia="bg-BG"/>
        </w:rPr>
      </w:pPr>
      <w:r w:rsidRPr="00BD5BB8">
        <w:rPr>
          <w:rFonts w:ascii="Times New Roman" w:eastAsia="TimesNewRoman" w:hAnsi="Times New Roman" w:cs="Times New Roman"/>
          <w:b/>
          <w:color w:val="000000"/>
          <w:sz w:val="24"/>
          <w:szCs w:val="24"/>
          <w:lang w:eastAsia="bg-BG"/>
        </w:rPr>
        <w:t>Институциите трябва да бъдат готови да приемат застаряването на населението като неизбежна даденост през следващите десетилетия, в които следва да концентрират своите усилия и да се изправят достойно пред целия набор от промени, съпътстващи този процес. Затова, в духа на съвременните европейски тенденции, следва да възприемат позитивен подход към това явление и по този начин да намерят не само най-верният път към справяне с възникващите проблеми, но и да превърнат предизвикателствата в нови възможности, които да са в полза за цялото общество.</w:t>
      </w:r>
    </w:p>
    <w:p w:rsidR="0092148B" w:rsidRPr="009A56A1" w:rsidRDefault="0092148B" w:rsidP="005F2097">
      <w:pPr>
        <w:keepNext/>
        <w:keepLines/>
        <w:spacing w:after="0" w:line="240" w:lineRule="auto"/>
        <w:jc w:val="both"/>
        <w:outlineLvl w:val="2"/>
        <w:rPr>
          <w:rFonts w:ascii="Times New Roman" w:eastAsiaTheme="majorEastAsia" w:hAnsi="Times New Roman" w:cs="Times New Roman"/>
          <w:b/>
          <w:bCs/>
          <w:caps/>
          <w:sz w:val="24"/>
          <w:szCs w:val="24"/>
        </w:rPr>
      </w:pPr>
    </w:p>
    <w:p w:rsidR="0092148B" w:rsidRPr="009A56A1" w:rsidRDefault="0092148B" w:rsidP="005F2097">
      <w:pPr>
        <w:keepNext/>
        <w:keepLines/>
        <w:spacing w:after="0" w:line="240" w:lineRule="auto"/>
        <w:jc w:val="both"/>
        <w:outlineLvl w:val="2"/>
        <w:rPr>
          <w:rFonts w:ascii="Times New Roman" w:eastAsiaTheme="majorEastAsia" w:hAnsi="Times New Roman" w:cs="Times New Roman"/>
          <w:b/>
          <w:bCs/>
          <w:caps/>
          <w:sz w:val="24"/>
          <w:szCs w:val="24"/>
        </w:rPr>
      </w:pPr>
    </w:p>
    <w:p w:rsidR="0092148B" w:rsidRPr="009A56A1" w:rsidRDefault="0092148B" w:rsidP="005F2097">
      <w:pPr>
        <w:keepNext/>
        <w:keepLines/>
        <w:spacing w:after="0" w:line="240" w:lineRule="auto"/>
        <w:jc w:val="both"/>
        <w:outlineLvl w:val="2"/>
        <w:rPr>
          <w:rFonts w:ascii="Times New Roman" w:eastAsiaTheme="majorEastAsia" w:hAnsi="Times New Roman" w:cs="Times New Roman"/>
          <w:b/>
          <w:bCs/>
          <w:caps/>
          <w:sz w:val="24"/>
          <w:szCs w:val="24"/>
        </w:rPr>
      </w:pPr>
    </w:p>
    <w:sectPr w:rsidR="0092148B" w:rsidRPr="009A56A1" w:rsidSect="007C20A8">
      <w:headerReference w:type="default" r:id="rId20"/>
      <w:footerReference w:type="default" r:id="rId21"/>
      <w:pgSz w:w="11906" w:h="16838"/>
      <w:pgMar w:top="1417" w:right="1133"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656C" w:rsidRDefault="0070656C" w:rsidP="005F2097">
      <w:pPr>
        <w:spacing w:after="0" w:line="240" w:lineRule="auto"/>
      </w:pPr>
      <w:r>
        <w:separator/>
      </w:r>
    </w:p>
  </w:endnote>
  <w:endnote w:type="continuationSeparator" w:id="0">
    <w:p w:rsidR="0070656C" w:rsidRDefault="0070656C" w:rsidP="005F20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yriadPro-Regular">
    <w:altName w:val="MS Gothic"/>
    <w:panose1 w:val="00000000000000000000"/>
    <w:charset w:val="80"/>
    <w:family w:val="swiss"/>
    <w:notTrueType/>
    <w:pitch w:val="default"/>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EC Square Sans Pro">
    <w:altName w:val="EC Square Sans Pro"/>
    <w:panose1 w:val="00000000000000000000"/>
    <w:charset w:val="CC"/>
    <w:family w:val="swiss"/>
    <w:notTrueType/>
    <w:pitch w:val="default"/>
    <w:sig w:usb0="00000203" w:usb1="00000000" w:usb2="00000000" w:usb3="00000000" w:csb0="00000005" w:csb1="00000000"/>
  </w:font>
  <w:font w:name="IRUSGN+ECSquareSansCondPro-Bold">
    <w:altName w:val="IRUSGN+ECSquareSansCondPro-Bold"/>
    <w:panose1 w:val="00000000000000000000"/>
    <w:charset w:val="CC"/>
    <w:family w:val="swiss"/>
    <w:notTrueType/>
    <w:pitch w:val="default"/>
    <w:sig w:usb0="00000201" w:usb1="00000000" w:usb2="00000000" w:usb3="00000000" w:csb0="00000004"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imes New Roman Bold">
    <w:panose1 w:val="00000000000000000000"/>
    <w:charset w:val="00"/>
    <w:family w:val="roman"/>
    <w:notTrueType/>
    <w:pitch w:val="default"/>
  </w:font>
  <w:font w:name="ArialMT">
    <w:altName w:val="MS Mincho"/>
    <w:panose1 w:val="00000000000000000000"/>
    <w:charset w:val="CC"/>
    <w:family w:val="auto"/>
    <w:notTrueType/>
    <w:pitch w:val="default"/>
    <w:sig w:usb0="00000000" w:usb1="08070000" w:usb2="00000010" w:usb3="00000000" w:csb0="00020004" w:csb1="00000000"/>
  </w:font>
  <w:font w:name="Dotum">
    <w:altName w:val="돋움"/>
    <w:panose1 w:val="020B0600000101010101"/>
    <w:charset w:val="81"/>
    <w:family w:val="swiss"/>
    <w:pitch w:val="variable"/>
    <w:sig w:usb0="B00002AF" w:usb1="69D77CFB" w:usb2="00000030" w:usb3="00000000" w:csb0="0008009F" w:csb1="00000000"/>
  </w:font>
  <w:font w:name="Myriad Pro">
    <w:altName w:val="Corbel"/>
    <w:panose1 w:val="00000000000000000000"/>
    <w:charset w:val="00"/>
    <w:family w:val="swiss"/>
    <w:notTrueType/>
    <w:pitch w:val="default"/>
    <w:sig w:usb0="00000003" w:usb1="00000000" w:usb2="00000000" w:usb3="00000000" w:csb0="00000001"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1770008"/>
      <w:docPartObj>
        <w:docPartGallery w:val="Page Numbers (Bottom of Page)"/>
        <w:docPartUnique/>
      </w:docPartObj>
    </w:sdtPr>
    <w:sdtEndPr>
      <w:rPr>
        <w:rFonts w:ascii="Times New Roman" w:hAnsi="Times New Roman" w:cs="Times New Roman"/>
        <w:noProof/>
        <w:sz w:val="20"/>
        <w:szCs w:val="20"/>
      </w:rPr>
    </w:sdtEndPr>
    <w:sdtContent>
      <w:p w:rsidR="00AE7304" w:rsidRPr="00A639A2" w:rsidRDefault="00AE7304">
        <w:pPr>
          <w:pStyle w:val="Footer"/>
          <w:jc w:val="right"/>
          <w:rPr>
            <w:rFonts w:ascii="Times New Roman" w:hAnsi="Times New Roman" w:cs="Times New Roman"/>
            <w:sz w:val="20"/>
            <w:szCs w:val="20"/>
          </w:rPr>
        </w:pPr>
        <w:r w:rsidRPr="00A639A2">
          <w:rPr>
            <w:rFonts w:ascii="Times New Roman" w:hAnsi="Times New Roman" w:cs="Times New Roman"/>
            <w:sz w:val="20"/>
            <w:szCs w:val="20"/>
          </w:rPr>
          <w:fldChar w:fldCharType="begin"/>
        </w:r>
        <w:r w:rsidRPr="00A639A2">
          <w:rPr>
            <w:rFonts w:ascii="Times New Roman" w:hAnsi="Times New Roman" w:cs="Times New Roman"/>
            <w:sz w:val="20"/>
            <w:szCs w:val="20"/>
          </w:rPr>
          <w:instrText xml:space="preserve"> PAGE   \* MERGEFORMAT </w:instrText>
        </w:r>
        <w:r w:rsidRPr="00A639A2">
          <w:rPr>
            <w:rFonts w:ascii="Times New Roman" w:hAnsi="Times New Roman" w:cs="Times New Roman"/>
            <w:sz w:val="20"/>
            <w:szCs w:val="20"/>
          </w:rPr>
          <w:fldChar w:fldCharType="separate"/>
        </w:r>
        <w:r w:rsidR="00930B37">
          <w:rPr>
            <w:rFonts w:ascii="Times New Roman" w:hAnsi="Times New Roman" w:cs="Times New Roman"/>
            <w:noProof/>
            <w:sz w:val="20"/>
            <w:szCs w:val="20"/>
          </w:rPr>
          <w:t>3</w:t>
        </w:r>
        <w:r w:rsidRPr="00A639A2">
          <w:rPr>
            <w:rFonts w:ascii="Times New Roman" w:hAnsi="Times New Roman" w:cs="Times New Roman"/>
            <w:noProof/>
            <w:sz w:val="20"/>
            <w:szCs w:val="20"/>
          </w:rPr>
          <w:fldChar w:fldCharType="end"/>
        </w:r>
      </w:p>
    </w:sdtContent>
  </w:sdt>
  <w:p w:rsidR="00AE7304" w:rsidRDefault="00AE7304" w:rsidP="00D069F8">
    <w:pPr>
      <w:pBdr>
        <w:bottom w:val="single" w:sz="4" w:space="1" w:color="auto"/>
      </w:pBdr>
      <w:spacing w:after="0" w:line="240" w:lineRule="auto"/>
      <w:jc w:val="center"/>
      <w:rPr>
        <w:rFonts w:ascii="Times New Roman" w:hAnsi="Times New Roman" w:cs="Times New Roman"/>
        <w:sz w:val="20"/>
        <w:szCs w:val="20"/>
      </w:rPr>
    </w:pPr>
  </w:p>
  <w:p w:rsidR="00AE7304" w:rsidRPr="00E82FA0" w:rsidRDefault="00AE7304" w:rsidP="00E82FA0">
    <w:pPr>
      <w:spacing w:after="0" w:line="240" w:lineRule="auto"/>
      <w:jc w:val="center"/>
      <w:rPr>
        <w:rFonts w:ascii="Times New Roman" w:hAnsi="Times New Roman" w:cs="Times New Roman"/>
        <w:sz w:val="20"/>
        <w:szCs w:val="20"/>
      </w:rPr>
    </w:pPr>
    <w:r w:rsidRPr="00E82FA0">
      <w:rPr>
        <w:rFonts w:ascii="Times New Roman" w:hAnsi="Times New Roman" w:cs="Times New Roman"/>
        <w:sz w:val="20"/>
        <w:szCs w:val="20"/>
      </w:rPr>
      <w:t>Доклад за отразяване на Националната концепция за насърчаване на активния живот на възрастните хора в България (2012 – 2030 г.) в секторните политики за периода 2017 – 2018 г.</w:t>
    </w:r>
  </w:p>
  <w:p w:rsidR="00AE7304" w:rsidRDefault="00AE73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656C" w:rsidRDefault="0070656C" w:rsidP="005F2097">
      <w:pPr>
        <w:spacing w:after="0" w:line="240" w:lineRule="auto"/>
      </w:pPr>
      <w:r>
        <w:separator/>
      </w:r>
    </w:p>
  </w:footnote>
  <w:footnote w:type="continuationSeparator" w:id="0">
    <w:p w:rsidR="0070656C" w:rsidRDefault="0070656C" w:rsidP="005F2097">
      <w:pPr>
        <w:spacing w:after="0" w:line="240" w:lineRule="auto"/>
      </w:pPr>
      <w:r>
        <w:continuationSeparator/>
      </w:r>
    </w:p>
  </w:footnote>
  <w:footnote w:id="1">
    <w:p w:rsidR="00AE7304" w:rsidRPr="005C67D4" w:rsidRDefault="00AE7304" w:rsidP="005C67D4">
      <w:pPr>
        <w:jc w:val="both"/>
        <w:rPr>
          <w:rFonts w:ascii="Times New Roman" w:hAnsi="Times New Roman" w:cs="Times New Roman"/>
          <w:sz w:val="18"/>
          <w:szCs w:val="18"/>
        </w:rPr>
      </w:pPr>
      <w:r w:rsidRPr="00E1364C">
        <w:rPr>
          <w:rStyle w:val="FootnoteReference"/>
          <w:rFonts w:ascii="Times New Roman" w:hAnsi="Times New Roman" w:cs="Times New Roman"/>
          <w:sz w:val="18"/>
          <w:szCs w:val="18"/>
        </w:rPr>
        <w:footnoteRef/>
      </w:r>
      <w:r w:rsidRPr="00E1364C">
        <w:rPr>
          <w:rFonts w:ascii="Times New Roman" w:hAnsi="Times New Roman" w:cs="Times New Roman"/>
          <w:sz w:val="18"/>
          <w:szCs w:val="18"/>
        </w:rPr>
        <w:t xml:space="preserve"> Източник: Организация на Обединените Нации (ООН), Отдел за население на ООН: </w:t>
      </w:r>
      <w:hyperlink r:id="rId1" w:history="1">
        <w:r w:rsidRPr="00E1364C">
          <w:rPr>
            <w:rStyle w:val="Hyperlink"/>
            <w:rFonts w:ascii="Times New Roman" w:hAnsi="Times New Roman" w:cs="Times New Roman"/>
            <w:sz w:val="18"/>
            <w:szCs w:val="18"/>
          </w:rPr>
          <w:t>http://www.un.org/ru/sections/issues-depth/population/index.html</w:t>
        </w:r>
      </w:hyperlink>
    </w:p>
  </w:footnote>
  <w:footnote w:id="2">
    <w:p w:rsidR="00AE7304" w:rsidRPr="002235BD" w:rsidRDefault="00AE7304" w:rsidP="009E509D">
      <w:pPr>
        <w:pStyle w:val="FootnoteText"/>
        <w:jc w:val="left"/>
        <w:rPr>
          <w:sz w:val="18"/>
          <w:szCs w:val="18"/>
        </w:rPr>
      </w:pPr>
      <w:r>
        <w:rPr>
          <w:rStyle w:val="FootnoteReference"/>
        </w:rPr>
        <w:footnoteRef/>
      </w:r>
      <w:r>
        <w:t xml:space="preserve"> </w:t>
      </w:r>
      <w:hyperlink r:id="rId2" w:history="1">
        <w:r w:rsidRPr="002235BD">
          <w:rPr>
            <w:rStyle w:val="Hyperlink"/>
            <w:sz w:val="18"/>
            <w:szCs w:val="18"/>
          </w:rPr>
          <w:t>http://data.uis.unesco.org/Index.aspx?queryid=172</w:t>
        </w:r>
      </w:hyperlink>
      <w:r w:rsidRPr="002235BD">
        <w:rPr>
          <w:sz w:val="18"/>
          <w:szCs w:val="18"/>
        </w:rPr>
        <w:t xml:space="preserve"> </w:t>
      </w:r>
    </w:p>
  </w:footnote>
  <w:footnote w:id="3">
    <w:p w:rsidR="00AE7304" w:rsidRDefault="00AE7304" w:rsidP="002235BD">
      <w:pPr>
        <w:pStyle w:val="FootnoteText"/>
        <w:jc w:val="left"/>
      </w:pPr>
      <w:r w:rsidRPr="002235BD">
        <w:rPr>
          <w:rStyle w:val="FootnoteReference"/>
          <w:sz w:val="18"/>
          <w:szCs w:val="18"/>
        </w:rPr>
        <w:footnoteRef/>
      </w:r>
      <w:r w:rsidRPr="002235BD">
        <w:rPr>
          <w:sz w:val="18"/>
          <w:szCs w:val="18"/>
        </w:rPr>
        <w:t xml:space="preserve"> </w:t>
      </w:r>
      <w:hyperlink r:id="rId3" w:history="1">
        <w:r w:rsidRPr="002235BD">
          <w:rPr>
            <w:rStyle w:val="Hyperlink"/>
            <w:sz w:val="18"/>
            <w:szCs w:val="18"/>
          </w:rPr>
          <w:t>https://www.ilo.org/wcmsp5/groups/public/---dgreports/---dcomm/---publ/documents/publication/wcms_652001.pdf</w:t>
        </w:r>
      </w:hyperlink>
      <w:r>
        <w:t xml:space="preserve"> </w:t>
      </w:r>
    </w:p>
  </w:footnote>
  <w:footnote w:id="4">
    <w:p w:rsidR="00AE7304" w:rsidRPr="00E1364C" w:rsidRDefault="00AE7304" w:rsidP="005F2097">
      <w:pPr>
        <w:pStyle w:val="Default"/>
        <w:jc w:val="both"/>
        <w:rPr>
          <w:sz w:val="18"/>
          <w:szCs w:val="18"/>
        </w:rPr>
      </w:pPr>
      <w:r w:rsidRPr="00E1364C">
        <w:rPr>
          <w:rStyle w:val="FootnoteReference"/>
          <w:sz w:val="18"/>
          <w:szCs w:val="18"/>
        </w:rPr>
        <w:footnoteRef/>
      </w:r>
      <w:r w:rsidRPr="00E1364C">
        <w:rPr>
          <w:sz w:val="18"/>
          <w:szCs w:val="18"/>
        </w:rPr>
        <w:t xml:space="preserve"> </w:t>
      </w:r>
      <w:r w:rsidRPr="00E1364C">
        <w:rPr>
          <w:color w:val="0000FF"/>
          <w:sz w:val="18"/>
          <w:szCs w:val="18"/>
          <w:lang w:val="en-US"/>
        </w:rPr>
        <w:t xml:space="preserve">Eurostat, </w:t>
      </w:r>
      <w:proofErr w:type="spellStart"/>
      <w:r w:rsidRPr="00E1364C">
        <w:rPr>
          <w:color w:val="0000FF"/>
          <w:sz w:val="18"/>
          <w:szCs w:val="18"/>
          <w:lang w:val="en-US"/>
        </w:rPr>
        <w:t>Newsrelease</w:t>
      </w:r>
      <w:proofErr w:type="spellEnd"/>
      <w:r w:rsidRPr="00E1364C">
        <w:rPr>
          <w:color w:val="0000FF"/>
          <w:sz w:val="18"/>
          <w:szCs w:val="18"/>
          <w:lang w:val="en-US"/>
        </w:rPr>
        <w:t>, P</w:t>
      </w:r>
      <w:r w:rsidRPr="00E1364C">
        <w:rPr>
          <w:rFonts w:eastAsiaTheme="minorHAnsi"/>
          <w:color w:val="0000FF"/>
          <w:sz w:val="18"/>
          <w:szCs w:val="18"/>
        </w:rPr>
        <w:t>opulation estimates</w:t>
      </w:r>
      <w:r w:rsidRPr="00E1364C">
        <w:rPr>
          <w:rFonts w:eastAsiaTheme="minorHAnsi"/>
          <w:color w:val="0000FF"/>
          <w:sz w:val="18"/>
          <w:szCs w:val="18"/>
          <w:lang w:val="en-US"/>
        </w:rPr>
        <w:t xml:space="preserve">, </w:t>
      </w:r>
      <w:r w:rsidRPr="00E1364C">
        <w:rPr>
          <w:rFonts w:eastAsiaTheme="minorHAnsi"/>
          <w:color w:val="0000FF"/>
          <w:sz w:val="18"/>
          <w:szCs w:val="18"/>
        </w:rPr>
        <w:t xml:space="preserve"> 114/2019 - 10 July 2019. </w:t>
      </w:r>
    </w:p>
    <w:p w:rsidR="00AE7304" w:rsidRPr="002235BD" w:rsidRDefault="00AE7304" w:rsidP="002235BD">
      <w:pPr>
        <w:jc w:val="both"/>
        <w:rPr>
          <w:rFonts w:ascii="Times New Roman" w:hAnsi="Times New Roman" w:cs="Times New Roman"/>
          <w:color w:val="3333FF"/>
          <w:sz w:val="18"/>
          <w:szCs w:val="18"/>
        </w:rPr>
      </w:pPr>
      <w:r w:rsidRPr="00831252">
        <w:rPr>
          <w:rFonts w:ascii="Times New Roman" w:hAnsi="Times New Roman" w:cs="Times New Roman"/>
          <w:color w:val="3333FF"/>
          <w:sz w:val="18"/>
          <w:szCs w:val="18"/>
        </w:rPr>
        <w:t xml:space="preserve"> </w:t>
      </w:r>
      <w:hyperlink r:id="rId4" w:history="1">
        <w:r w:rsidRPr="00E1364C">
          <w:rPr>
            <w:rStyle w:val="Hyperlink"/>
            <w:rFonts w:ascii="Times New Roman" w:hAnsi="Times New Roman" w:cs="Times New Roman"/>
            <w:color w:val="3333FF"/>
            <w:sz w:val="18"/>
            <w:szCs w:val="18"/>
            <w:lang w:val="en-US"/>
          </w:rPr>
          <w:t>http</w:t>
        </w:r>
        <w:r w:rsidRPr="00831252">
          <w:rPr>
            <w:rStyle w:val="Hyperlink"/>
            <w:rFonts w:ascii="Times New Roman" w:hAnsi="Times New Roman" w:cs="Times New Roman"/>
            <w:color w:val="3333FF"/>
            <w:sz w:val="18"/>
            <w:szCs w:val="18"/>
          </w:rPr>
          <w:t>://</w:t>
        </w:r>
        <w:proofErr w:type="spellStart"/>
        <w:r w:rsidRPr="00E1364C">
          <w:rPr>
            <w:rStyle w:val="Hyperlink"/>
            <w:rFonts w:ascii="Times New Roman" w:hAnsi="Times New Roman" w:cs="Times New Roman"/>
            <w:color w:val="3333FF"/>
            <w:sz w:val="18"/>
            <w:szCs w:val="18"/>
            <w:lang w:val="en-US"/>
          </w:rPr>
          <w:t>ec</w:t>
        </w:r>
        <w:proofErr w:type="spellEnd"/>
        <w:r w:rsidRPr="00831252">
          <w:rPr>
            <w:rStyle w:val="Hyperlink"/>
            <w:rFonts w:ascii="Times New Roman" w:hAnsi="Times New Roman" w:cs="Times New Roman"/>
            <w:color w:val="3333FF"/>
            <w:sz w:val="18"/>
            <w:szCs w:val="18"/>
          </w:rPr>
          <w:t>.</w:t>
        </w:r>
        <w:proofErr w:type="spellStart"/>
        <w:r w:rsidRPr="00E1364C">
          <w:rPr>
            <w:rStyle w:val="Hyperlink"/>
            <w:rFonts w:ascii="Times New Roman" w:hAnsi="Times New Roman" w:cs="Times New Roman"/>
            <w:color w:val="3333FF"/>
            <w:sz w:val="18"/>
            <w:szCs w:val="18"/>
            <w:lang w:val="en-US"/>
          </w:rPr>
          <w:t>europa</w:t>
        </w:r>
        <w:proofErr w:type="spellEnd"/>
        <w:r w:rsidRPr="00831252">
          <w:rPr>
            <w:rStyle w:val="Hyperlink"/>
            <w:rFonts w:ascii="Times New Roman" w:hAnsi="Times New Roman" w:cs="Times New Roman"/>
            <w:color w:val="3333FF"/>
            <w:sz w:val="18"/>
            <w:szCs w:val="18"/>
          </w:rPr>
          <w:t>.</w:t>
        </w:r>
        <w:proofErr w:type="spellStart"/>
        <w:r w:rsidRPr="00E1364C">
          <w:rPr>
            <w:rStyle w:val="Hyperlink"/>
            <w:rFonts w:ascii="Times New Roman" w:hAnsi="Times New Roman" w:cs="Times New Roman"/>
            <w:color w:val="3333FF"/>
            <w:sz w:val="18"/>
            <w:szCs w:val="18"/>
            <w:lang w:val="en-US"/>
          </w:rPr>
          <w:t>eu</w:t>
        </w:r>
        <w:proofErr w:type="spellEnd"/>
        <w:r w:rsidRPr="00831252">
          <w:rPr>
            <w:rStyle w:val="Hyperlink"/>
            <w:rFonts w:ascii="Times New Roman" w:hAnsi="Times New Roman" w:cs="Times New Roman"/>
            <w:color w:val="3333FF"/>
            <w:sz w:val="18"/>
            <w:szCs w:val="18"/>
          </w:rPr>
          <w:t>/</w:t>
        </w:r>
        <w:proofErr w:type="spellStart"/>
        <w:r w:rsidRPr="00E1364C">
          <w:rPr>
            <w:rStyle w:val="Hyperlink"/>
            <w:rFonts w:ascii="Times New Roman" w:hAnsi="Times New Roman" w:cs="Times New Roman"/>
            <w:color w:val="3333FF"/>
            <w:sz w:val="18"/>
            <w:szCs w:val="18"/>
            <w:lang w:val="en-US"/>
          </w:rPr>
          <w:t>eurostat</w:t>
        </w:r>
        <w:proofErr w:type="spellEnd"/>
        <w:r w:rsidRPr="00831252">
          <w:rPr>
            <w:rStyle w:val="Hyperlink"/>
            <w:rFonts w:ascii="Times New Roman" w:hAnsi="Times New Roman" w:cs="Times New Roman"/>
            <w:color w:val="3333FF"/>
            <w:sz w:val="18"/>
            <w:szCs w:val="18"/>
          </w:rPr>
          <w:t>/</w:t>
        </w:r>
        <w:r w:rsidRPr="00E1364C">
          <w:rPr>
            <w:rStyle w:val="Hyperlink"/>
            <w:rFonts w:ascii="Times New Roman" w:hAnsi="Times New Roman" w:cs="Times New Roman"/>
            <w:color w:val="3333FF"/>
            <w:sz w:val="18"/>
            <w:szCs w:val="18"/>
            <w:lang w:val="en-US"/>
          </w:rPr>
          <w:t>documents</w:t>
        </w:r>
        <w:r w:rsidRPr="00831252">
          <w:rPr>
            <w:rStyle w:val="Hyperlink"/>
            <w:rFonts w:ascii="Times New Roman" w:hAnsi="Times New Roman" w:cs="Times New Roman"/>
            <w:color w:val="3333FF"/>
            <w:sz w:val="18"/>
            <w:szCs w:val="18"/>
          </w:rPr>
          <w:t>/2995521/8102195/3-10072017-</w:t>
        </w:r>
        <w:r w:rsidRPr="00E1364C">
          <w:rPr>
            <w:rStyle w:val="Hyperlink"/>
            <w:rFonts w:ascii="Times New Roman" w:hAnsi="Times New Roman" w:cs="Times New Roman"/>
            <w:color w:val="3333FF"/>
            <w:sz w:val="18"/>
            <w:szCs w:val="18"/>
            <w:lang w:val="en-US"/>
          </w:rPr>
          <w:t>AP</w:t>
        </w:r>
        <w:r w:rsidRPr="00831252">
          <w:rPr>
            <w:rStyle w:val="Hyperlink"/>
            <w:rFonts w:ascii="Times New Roman" w:hAnsi="Times New Roman" w:cs="Times New Roman"/>
            <w:color w:val="3333FF"/>
            <w:sz w:val="18"/>
            <w:szCs w:val="18"/>
          </w:rPr>
          <w:t>-</w:t>
        </w:r>
        <w:r w:rsidRPr="00E1364C">
          <w:rPr>
            <w:rStyle w:val="Hyperlink"/>
            <w:rFonts w:ascii="Times New Roman" w:hAnsi="Times New Roman" w:cs="Times New Roman"/>
            <w:color w:val="3333FF"/>
            <w:sz w:val="18"/>
            <w:szCs w:val="18"/>
            <w:lang w:val="en-US"/>
          </w:rPr>
          <w:t>EN</w:t>
        </w:r>
        <w:r w:rsidRPr="00831252">
          <w:rPr>
            <w:rStyle w:val="Hyperlink"/>
            <w:rFonts w:ascii="Times New Roman" w:hAnsi="Times New Roman" w:cs="Times New Roman"/>
            <w:color w:val="3333FF"/>
            <w:sz w:val="18"/>
            <w:szCs w:val="18"/>
          </w:rPr>
          <w:t>.</w:t>
        </w:r>
        <w:r w:rsidRPr="00E1364C">
          <w:rPr>
            <w:rStyle w:val="Hyperlink"/>
            <w:rFonts w:ascii="Times New Roman" w:hAnsi="Times New Roman" w:cs="Times New Roman"/>
            <w:color w:val="3333FF"/>
            <w:sz w:val="18"/>
            <w:szCs w:val="18"/>
            <w:lang w:val="en-US"/>
          </w:rPr>
          <w:t>pdf</w:t>
        </w:r>
        <w:r w:rsidRPr="00831252">
          <w:rPr>
            <w:rStyle w:val="Hyperlink"/>
            <w:rFonts w:ascii="Times New Roman" w:hAnsi="Times New Roman" w:cs="Times New Roman"/>
            <w:color w:val="3333FF"/>
            <w:sz w:val="18"/>
            <w:szCs w:val="18"/>
          </w:rPr>
          <w:t>/</w:t>
        </w:r>
        <w:r w:rsidRPr="00E1364C">
          <w:rPr>
            <w:rStyle w:val="Hyperlink"/>
            <w:rFonts w:ascii="Times New Roman" w:hAnsi="Times New Roman" w:cs="Times New Roman"/>
            <w:color w:val="3333FF"/>
            <w:sz w:val="18"/>
            <w:szCs w:val="18"/>
            <w:lang w:val="en-US"/>
          </w:rPr>
          <w:t>a</w:t>
        </w:r>
        <w:r w:rsidRPr="00831252">
          <w:rPr>
            <w:rStyle w:val="Hyperlink"/>
            <w:rFonts w:ascii="Times New Roman" w:hAnsi="Times New Roman" w:cs="Times New Roman"/>
            <w:color w:val="3333FF"/>
            <w:sz w:val="18"/>
            <w:szCs w:val="18"/>
          </w:rPr>
          <w:t>61</w:t>
        </w:r>
        <w:proofErr w:type="spellStart"/>
        <w:r w:rsidRPr="00E1364C">
          <w:rPr>
            <w:rStyle w:val="Hyperlink"/>
            <w:rFonts w:ascii="Times New Roman" w:hAnsi="Times New Roman" w:cs="Times New Roman"/>
            <w:color w:val="3333FF"/>
            <w:sz w:val="18"/>
            <w:szCs w:val="18"/>
            <w:lang w:val="en-US"/>
          </w:rPr>
          <w:t>ce</w:t>
        </w:r>
        <w:proofErr w:type="spellEnd"/>
        <w:r w:rsidRPr="00831252">
          <w:rPr>
            <w:rStyle w:val="Hyperlink"/>
            <w:rFonts w:ascii="Times New Roman" w:hAnsi="Times New Roman" w:cs="Times New Roman"/>
            <w:color w:val="3333FF"/>
            <w:sz w:val="18"/>
            <w:szCs w:val="18"/>
          </w:rPr>
          <w:t>1</w:t>
        </w:r>
        <w:r w:rsidRPr="00E1364C">
          <w:rPr>
            <w:rStyle w:val="Hyperlink"/>
            <w:rFonts w:ascii="Times New Roman" w:hAnsi="Times New Roman" w:cs="Times New Roman"/>
            <w:color w:val="3333FF"/>
            <w:sz w:val="18"/>
            <w:szCs w:val="18"/>
            <w:lang w:val="en-US"/>
          </w:rPr>
          <w:t>ca</w:t>
        </w:r>
        <w:r w:rsidRPr="00831252">
          <w:rPr>
            <w:rStyle w:val="Hyperlink"/>
            <w:rFonts w:ascii="Times New Roman" w:hAnsi="Times New Roman" w:cs="Times New Roman"/>
            <w:color w:val="3333FF"/>
            <w:sz w:val="18"/>
            <w:szCs w:val="18"/>
          </w:rPr>
          <w:t>-1</w:t>
        </w:r>
        <w:proofErr w:type="spellStart"/>
        <w:r w:rsidRPr="00E1364C">
          <w:rPr>
            <w:rStyle w:val="Hyperlink"/>
            <w:rFonts w:ascii="Times New Roman" w:hAnsi="Times New Roman" w:cs="Times New Roman"/>
            <w:color w:val="3333FF"/>
            <w:sz w:val="18"/>
            <w:szCs w:val="18"/>
            <w:lang w:val="en-US"/>
          </w:rPr>
          <w:t>efd</w:t>
        </w:r>
        <w:proofErr w:type="spellEnd"/>
        <w:r w:rsidRPr="00831252">
          <w:rPr>
            <w:rStyle w:val="Hyperlink"/>
            <w:rFonts w:ascii="Times New Roman" w:hAnsi="Times New Roman" w:cs="Times New Roman"/>
            <w:color w:val="3333FF"/>
            <w:sz w:val="18"/>
            <w:szCs w:val="18"/>
          </w:rPr>
          <w:t>-41</w:t>
        </w:r>
        <w:proofErr w:type="spellStart"/>
        <w:r w:rsidRPr="00E1364C">
          <w:rPr>
            <w:rStyle w:val="Hyperlink"/>
            <w:rFonts w:ascii="Times New Roman" w:hAnsi="Times New Roman" w:cs="Times New Roman"/>
            <w:color w:val="3333FF"/>
            <w:sz w:val="18"/>
            <w:szCs w:val="18"/>
            <w:lang w:val="en-US"/>
          </w:rPr>
          <w:t>df</w:t>
        </w:r>
        <w:proofErr w:type="spellEnd"/>
        <w:r w:rsidRPr="00831252">
          <w:rPr>
            <w:rStyle w:val="Hyperlink"/>
            <w:rFonts w:ascii="Times New Roman" w:hAnsi="Times New Roman" w:cs="Times New Roman"/>
            <w:color w:val="3333FF"/>
            <w:sz w:val="18"/>
            <w:szCs w:val="18"/>
          </w:rPr>
          <w:t>-86</w:t>
        </w:r>
        <w:r w:rsidRPr="00E1364C">
          <w:rPr>
            <w:rStyle w:val="Hyperlink"/>
            <w:rFonts w:ascii="Times New Roman" w:hAnsi="Times New Roman" w:cs="Times New Roman"/>
            <w:color w:val="3333FF"/>
            <w:sz w:val="18"/>
            <w:szCs w:val="18"/>
            <w:lang w:val="en-US"/>
          </w:rPr>
          <w:t>a</w:t>
        </w:r>
        <w:r w:rsidRPr="00831252">
          <w:rPr>
            <w:rStyle w:val="Hyperlink"/>
            <w:rFonts w:ascii="Times New Roman" w:hAnsi="Times New Roman" w:cs="Times New Roman"/>
            <w:color w:val="3333FF"/>
            <w:sz w:val="18"/>
            <w:szCs w:val="18"/>
          </w:rPr>
          <w:t>2-</w:t>
        </w:r>
        <w:r w:rsidRPr="00E1364C">
          <w:rPr>
            <w:rStyle w:val="Hyperlink"/>
            <w:rFonts w:ascii="Times New Roman" w:hAnsi="Times New Roman" w:cs="Times New Roman"/>
            <w:color w:val="3333FF"/>
            <w:sz w:val="18"/>
            <w:szCs w:val="18"/>
            <w:lang w:val="en-US"/>
          </w:rPr>
          <w:t>bb</w:t>
        </w:r>
        <w:r w:rsidRPr="00831252">
          <w:rPr>
            <w:rStyle w:val="Hyperlink"/>
            <w:rFonts w:ascii="Times New Roman" w:hAnsi="Times New Roman" w:cs="Times New Roman"/>
            <w:color w:val="3333FF"/>
            <w:sz w:val="18"/>
            <w:szCs w:val="18"/>
          </w:rPr>
          <w:t>495</w:t>
        </w:r>
        <w:proofErr w:type="spellStart"/>
        <w:r w:rsidRPr="00E1364C">
          <w:rPr>
            <w:rStyle w:val="Hyperlink"/>
            <w:rFonts w:ascii="Times New Roman" w:hAnsi="Times New Roman" w:cs="Times New Roman"/>
            <w:color w:val="3333FF"/>
            <w:sz w:val="18"/>
            <w:szCs w:val="18"/>
            <w:lang w:val="en-US"/>
          </w:rPr>
          <w:t>daabdab</w:t>
        </w:r>
        <w:proofErr w:type="spellEnd"/>
      </w:hyperlink>
      <w:r>
        <w:rPr>
          <w:rStyle w:val="Hyperlink"/>
          <w:rFonts w:ascii="Times New Roman" w:hAnsi="Times New Roman" w:cs="Times New Roman"/>
          <w:color w:val="3333FF"/>
          <w:sz w:val="18"/>
          <w:szCs w:val="18"/>
        </w:rPr>
        <w:t xml:space="preserve"> </w:t>
      </w:r>
    </w:p>
  </w:footnote>
  <w:footnote w:id="5">
    <w:p w:rsidR="00AE7304" w:rsidRPr="008369D3" w:rsidRDefault="00AE7304" w:rsidP="004D1375">
      <w:pPr>
        <w:jc w:val="both"/>
        <w:rPr>
          <w:rFonts w:ascii="Times New Roman" w:hAnsi="Times New Roman" w:cs="Times New Roman"/>
          <w:color w:val="0000FF"/>
          <w:sz w:val="20"/>
          <w:szCs w:val="20"/>
        </w:rPr>
      </w:pPr>
      <w:r w:rsidRPr="008369D3">
        <w:rPr>
          <w:rStyle w:val="FootnoteReference"/>
          <w:rFonts w:ascii="Times New Roman" w:hAnsi="Times New Roman" w:cs="Times New Roman"/>
          <w:sz w:val="20"/>
          <w:szCs w:val="20"/>
        </w:rPr>
        <w:footnoteRef/>
      </w:r>
      <w:hyperlink r:id="rId5" w:history="1">
        <w:r w:rsidRPr="008369D3">
          <w:rPr>
            <w:rStyle w:val="Hyperlink"/>
            <w:rFonts w:ascii="Times New Roman" w:hAnsi="Times New Roman" w:cs="Times New Roman"/>
            <w:sz w:val="20"/>
            <w:szCs w:val="20"/>
          </w:rPr>
          <w:t>https://ec.europa.eu/commission/sites/beta-political/files/reflection-paper-social-dimension-europe_bg.pdf</w:t>
        </w:r>
      </w:hyperlink>
    </w:p>
    <w:p w:rsidR="00AE7304" w:rsidRDefault="00AE7304" w:rsidP="004D1375">
      <w:pPr>
        <w:pStyle w:val="FootnoteText"/>
      </w:pPr>
    </w:p>
  </w:footnote>
  <w:footnote w:id="6">
    <w:p w:rsidR="00AE7304" w:rsidRPr="00E1364C" w:rsidRDefault="00AE7304" w:rsidP="002000F0">
      <w:pPr>
        <w:pStyle w:val="FootnoteText"/>
        <w:jc w:val="left"/>
        <w:rPr>
          <w:sz w:val="18"/>
          <w:szCs w:val="18"/>
        </w:rPr>
      </w:pPr>
      <w:r w:rsidRPr="00E1364C">
        <w:rPr>
          <w:rStyle w:val="FootnoteReference"/>
          <w:sz w:val="18"/>
          <w:szCs w:val="18"/>
        </w:rPr>
        <w:footnoteRef/>
      </w:r>
      <w:r w:rsidRPr="00E1364C">
        <w:rPr>
          <w:sz w:val="18"/>
          <w:szCs w:val="18"/>
        </w:rPr>
        <w:t xml:space="preserve"> Предварителни данни</w:t>
      </w:r>
    </w:p>
  </w:footnote>
  <w:footnote w:id="7">
    <w:p w:rsidR="00AE7304" w:rsidRPr="00E1364C" w:rsidRDefault="00AE7304" w:rsidP="004B6BAC">
      <w:pPr>
        <w:pStyle w:val="FootnoteText"/>
        <w:jc w:val="both"/>
        <w:rPr>
          <w:rStyle w:val="FontStyle21"/>
          <w:sz w:val="18"/>
          <w:szCs w:val="18"/>
          <w:lang w:eastAsia="bg-BG"/>
        </w:rPr>
      </w:pPr>
      <w:r w:rsidRPr="00E1364C">
        <w:rPr>
          <w:rStyle w:val="FootnoteReference"/>
          <w:rFonts w:eastAsiaTheme="majorEastAsia"/>
          <w:sz w:val="18"/>
          <w:szCs w:val="18"/>
        </w:rPr>
        <w:footnoteRef/>
      </w:r>
      <w:r w:rsidRPr="00E1364C">
        <w:rPr>
          <w:rStyle w:val="FontStyle21"/>
          <w:sz w:val="18"/>
          <w:szCs w:val="18"/>
          <w:lang w:eastAsia="bg-BG"/>
        </w:rPr>
        <w:t xml:space="preserve"> При международните сравнения данните за държавите от Европейския съюз се отнасят за 2017 година. Източник: Евростат - http://epp.eurostat.ec.europa.eu/.  </w:t>
      </w:r>
    </w:p>
  </w:footnote>
  <w:footnote w:id="8">
    <w:p w:rsidR="00AE7304" w:rsidRPr="00E1364C" w:rsidRDefault="00AE7304" w:rsidP="005F2097">
      <w:pPr>
        <w:pStyle w:val="FootnoteText"/>
        <w:jc w:val="both"/>
        <w:rPr>
          <w:sz w:val="18"/>
          <w:szCs w:val="18"/>
        </w:rPr>
      </w:pPr>
      <w:r w:rsidRPr="00E1364C">
        <w:rPr>
          <w:rStyle w:val="FootnoteReference"/>
          <w:rFonts w:eastAsiaTheme="majorEastAsia"/>
          <w:sz w:val="18"/>
          <w:szCs w:val="18"/>
        </w:rPr>
        <w:footnoteRef/>
      </w:r>
      <w:r w:rsidRPr="00E1364C">
        <w:rPr>
          <w:sz w:val="18"/>
          <w:szCs w:val="18"/>
        </w:rPr>
        <w:t xml:space="preserve"> Коефициент на нетна миграция - отношение на нетната миграция към средногодишното население през годината (на 1000 души).</w:t>
      </w:r>
    </w:p>
  </w:footnote>
  <w:footnote w:id="9">
    <w:p w:rsidR="00AE7304" w:rsidRPr="001E4B71" w:rsidRDefault="00AE7304" w:rsidP="001177B8">
      <w:pPr>
        <w:pStyle w:val="FootnoteText"/>
        <w:jc w:val="left"/>
        <w:rPr>
          <w:sz w:val="18"/>
          <w:szCs w:val="18"/>
        </w:rPr>
      </w:pPr>
      <w:r w:rsidRPr="001E4B71">
        <w:rPr>
          <w:rStyle w:val="FootnoteReference"/>
          <w:sz w:val="18"/>
          <w:szCs w:val="18"/>
        </w:rPr>
        <w:footnoteRef/>
      </w:r>
      <w:r w:rsidRPr="001E4B71">
        <w:rPr>
          <w:sz w:val="18"/>
          <w:szCs w:val="18"/>
        </w:rPr>
        <w:t xml:space="preserve"> </w:t>
      </w:r>
      <w:hyperlink r:id="rId6" w:history="1">
        <w:r w:rsidRPr="00FF54CB">
          <w:rPr>
            <w:rStyle w:val="Hyperlink"/>
            <w:sz w:val="18"/>
            <w:szCs w:val="18"/>
          </w:rPr>
          <w:t>https://appsso.eurostat.ec.europa.eu/nui/show.do?dataset=proj_18np&amp;lang=en</w:t>
        </w:r>
      </w:hyperlink>
      <w:r>
        <w:rPr>
          <w:sz w:val="18"/>
          <w:szCs w:val="18"/>
        </w:rPr>
        <w:t xml:space="preserve"> </w:t>
      </w:r>
    </w:p>
  </w:footnote>
  <w:footnote w:id="10">
    <w:p w:rsidR="00AE7304" w:rsidRPr="00E1364C" w:rsidRDefault="00AE7304" w:rsidP="005F2097">
      <w:pPr>
        <w:pStyle w:val="FootnoteText"/>
        <w:jc w:val="both"/>
        <w:rPr>
          <w:sz w:val="18"/>
          <w:szCs w:val="18"/>
        </w:rPr>
      </w:pPr>
      <w:r w:rsidRPr="00E1364C">
        <w:rPr>
          <w:rStyle w:val="FootnoteReference"/>
          <w:rFonts w:eastAsiaTheme="majorEastAsia"/>
          <w:sz w:val="18"/>
          <w:szCs w:val="18"/>
        </w:rPr>
        <w:footnoteRef/>
      </w:r>
      <w:r w:rsidRPr="00E1364C">
        <w:rPr>
          <w:rStyle w:val="FootnoteReference"/>
          <w:rFonts w:eastAsiaTheme="majorEastAsia"/>
          <w:sz w:val="18"/>
          <w:szCs w:val="18"/>
        </w:rPr>
        <w:t xml:space="preserve"> </w:t>
      </w:r>
      <w:r w:rsidRPr="00E1364C">
        <w:rPr>
          <w:rStyle w:val="FontStyle21"/>
          <w:sz w:val="18"/>
          <w:szCs w:val="18"/>
          <w:lang w:eastAsia="bg-BG"/>
        </w:rPr>
        <w:t>Сати Какокен и авт. колектив, 2013 г., Доклад на Световна банка - "Смекчаване на икономическото въздействие на застаряването на населението: възможни варианти за България".</w:t>
      </w:r>
    </w:p>
  </w:footnote>
  <w:footnote w:id="11">
    <w:p w:rsidR="00AE7304" w:rsidRPr="00C17FC4" w:rsidRDefault="00AE7304" w:rsidP="00C17FC4">
      <w:pPr>
        <w:pStyle w:val="FootnoteText"/>
        <w:jc w:val="both"/>
        <w:rPr>
          <w:rStyle w:val="FontStyle21"/>
          <w:lang w:eastAsia="bg-BG"/>
        </w:rPr>
      </w:pPr>
      <w:r w:rsidRPr="00E1364C">
        <w:rPr>
          <w:rStyle w:val="FootnoteReference"/>
          <w:rFonts w:eastAsiaTheme="majorEastAsia"/>
          <w:sz w:val="18"/>
          <w:szCs w:val="18"/>
        </w:rPr>
        <w:footnoteRef/>
      </w:r>
      <w:r w:rsidRPr="00E1364C">
        <w:rPr>
          <w:rStyle w:val="FootnoteReference"/>
          <w:rFonts w:eastAsiaTheme="majorEastAsia"/>
          <w:sz w:val="18"/>
          <w:szCs w:val="18"/>
        </w:rPr>
        <w:t xml:space="preserve"> </w:t>
      </w:r>
      <w:r w:rsidRPr="00E1364C">
        <w:rPr>
          <w:rStyle w:val="FontStyle21"/>
          <w:sz w:val="18"/>
          <w:szCs w:val="18"/>
          <w:lang w:eastAsia="bg-BG"/>
        </w:rPr>
        <w:t>Брой живородени деца на 1 000 души от средногодишния брой на населението през годината.</w:t>
      </w:r>
      <w:r w:rsidRPr="00C17FC4">
        <w:rPr>
          <w:rStyle w:val="FontStyle21"/>
          <w:lang w:eastAsia="bg-BG"/>
        </w:rPr>
        <w:t xml:space="preserve">  </w:t>
      </w:r>
    </w:p>
  </w:footnote>
  <w:footnote w:id="12">
    <w:p w:rsidR="00AE7304" w:rsidRPr="00E1364C" w:rsidRDefault="00AE7304" w:rsidP="00E1364C">
      <w:pPr>
        <w:pStyle w:val="FootnoteText"/>
        <w:jc w:val="both"/>
        <w:rPr>
          <w:sz w:val="18"/>
          <w:szCs w:val="18"/>
        </w:rPr>
      </w:pPr>
      <w:r w:rsidRPr="00E1364C">
        <w:rPr>
          <w:rStyle w:val="FootnoteReference"/>
          <w:sz w:val="18"/>
          <w:szCs w:val="18"/>
        </w:rPr>
        <w:footnoteRef/>
      </w:r>
      <w:r w:rsidRPr="00E1364C">
        <w:rPr>
          <w:sz w:val="18"/>
          <w:szCs w:val="18"/>
        </w:rPr>
        <w:t xml:space="preserve"> </w:t>
      </w:r>
      <w:r w:rsidRPr="00E1364C">
        <w:rPr>
          <w:iCs/>
          <w:sz w:val="18"/>
          <w:szCs w:val="18"/>
        </w:rPr>
        <w:t>Среден брой живородени деца, които би родила една жена през целия си фертилен период съобразно повъзрастовата плодовитост през отчетната година.</w:t>
      </w:r>
    </w:p>
  </w:footnote>
  <w:footnote w:id="13">
    <w:p w:rsidR="00AE7304" w:rsidRPr="00E1364C" w:rsidRDefault="00AE7304" w:rsidP="00683FB4">
      <w:pPr>
        <w:pStyle w:val="FootnoteText"/>
        <w:jc w:val="left"/>
        <w:rPr>
          <w:sz w:val="18"/>
          <w:szCs w:val="18"/>
        </w:rPr>
      </w:pPr>
      <w:r w:rsidRPr="00E1364C">
        <w:rPr>
          <w:iCs/>
          <w:sz w:val="18"/>
          <w:szCs w:val="18"/>
        </w:rPr>
        <w:footnoteRef/>
      </w:r>
      <w:r w:rsidRPr="00E1364C">
        <w:rPr>
          <w:iCs/>
          <w:sz w:val="18"/>
          <w:szCs w:val="18"/>
        </w:rPr>
        <w:t xml:space="preserve"> Брой умрели лица на 1 000 души от средногодишния брой на населението.</w:t>
      </w:r>
      <w:r w:rsidRPr="00E1364C">
        <w:rPr>
          <w:sz w:val="18"/>
          <w:szCs w:val="18"/>
        </w:rPr>
        <w:t xml:space="preserve">  </w:t>
      </w:r>
    </w:p>
  </w:footnote>
  <w:footnote w:id="14">
    <w:p w:rsidR="00AE7304" w:rsidRPr="00D84638" w:rsidRDefault="00AE7304" w:rsidP="005F2097">
      <w:pPr>
        <w:pStyle w:val="Style7"/>
        <w:widowControl/>
        <w:rPr>
          <w:rStyle w:val="FontStyle20"/>
          <w:lang w:val="bg-BG" w:eastAsia="bg-BG"/>
        </w:rPr>
      </w:pPr>
      <w:r>
        <w:rPr>
          <w:rStyle w:val="FootnoteReference"/>
        </w:rPr>
        <w:footnoteRef/>
      </w:r>
      <w:r w:rsidRPr="001F6CBF">
        <w:rPr>
          <w:lang w:val="ru-RU"/>
        </w:rPr>
        <w:t xml:space="preserve"> </w:t>
      </w:r>
      <w:r>
        <w:rPr>
          <w:rStyle w:val="FontStyle20"/>
          <w:lang w:val="bg-BG" w:eastAsia="bg-BG"/>
        </w:rPr>
        <w:t>Бюлетин 19 – Смъртност по основни причини в Република България – НЦОЗА 2019</w:t>
      </w:r>
      <w:r w:rsidRPr="00D84638">
        <w:rPr>
          <w:rStyle w:val="FontStyle20"/>
          <w:lang w:val="bg-BG" w:eastAsia="bg-BG"/>
        </w:rPr>
        <w:t xml:space="preserve"> г."</w:t>
      </w:r>
    </w:p>
    <w:p w:rsidR="00AE7304" w:rsidRDefault="00AE7304" w:rsidP="005F2097">
      <w:pPr>
        <w:pStyle w:val="FootnoteText"/>
        <w:jc w:val="both"/>
      </w:pPr>
    </w:p>
  </w:footnote>
  <w:footnote w:id="15">
    <w:p w:rsidR="00AE7304" w:rsidRDefault="00AE7304" w:rsidP="003460FF">
      <w:pPr>
        <w:pStyle w:val="Default"/>
      </w:pPr>
      <w:r w:rsidRPr="003460FF">
        <w:rPr>
          <w:sz w:val="18"/>
          <w:szCs w:val="18"/>
        </w:rPr>
        <w:footnoteRef/>
      </w:r>
      <w:r w:rsidRPr="003460FF">
        <w:rPr>
          <w:sz w:val="18"/>
          <w:szCs w:val="18"/>
        </w:rPr>
        <w:t xml:space="preserve"> Бюлетин 19 – Смъртност по основни причини в Република България – НЦОЗА 2019</w:t>
      </w:r>
      <w:r>
        <w:rPr>
          <w:sz w:val="18"/>
          <w:szCs w:val="18"/>
        </w:rPr>
        <w:t xml:space="preserve"> г. – данни за 2016 г.</w:t>
      </w:r>
    </w:p>
  </w:footnote>
  <w:footnote w:id="16">
    <w:p w:rsidR="00AE7304" w:rsidRPr="00BC3E49" w:rsidRDefault="00AE7304" w:rsidP="00BC3E49">
      <w:pPr>
        <w:pStyle w:val="Default"/>
        <w:rPr>
          <w:sz w:val="18"/>
          <w:szCs w:val="18"/>
        </w:rPr>
      </w:pPr>
      <w:r w:rsidRPr="00BC3E49">
        <w:rPr>
          <w:rStyle w:val="FootnoteReference"/>
          <w:sz w:val="18"/>
          <w:szCs w:val="18"/>
        </w:rPr>
        <w:footnoteRef/>
      </w:r>
      <w:r w:rsidRPr="00BC3E49">
        <w:rPr>
          <w:sz w:val="18"/>
          <w:szCs w:val="18"/>
        </w:rPr>
        <w:t xml:space="preserve"> Данните за държавите от Европейския съюз се отнасят за 2017 година. </w:t>
      </w:r>
    </w:p>
    <w:p w:rsidR="00AE7304" w:rsidRPr="00BC3E49" w:rsidRDefault="00AE7304" w:rsidP="00BC3E49">
      <w:pPr>
        <w:pStyle w:val="FootnoteText"/>
        <w:jc w:val="left"/>
        <w:rPr>
          <w:sz w:val="18"/>
          <w:szCs w:val="18"/>
        </w:rPr>
      </w:pPr>
      <w:r w:rsidRPr="00BC3E49">
        <w:rPr>
          <w:rFonts w:eastAsiaTheme="minorHAnsi"/>
          <w:color w:val="000000"/>
          <w:sz w:val="18"/>
          <w:szCs w:val="18"/>
        </w:rPr>
        <w:t xml:space="preserve">Източник: Евростат - http://epp.eurostat.ec.europa.eu/.  </w:t>
      </w:r>
    </w:p>
  </w:footnote>
  <w:footnote w:id="17">
    <w:p w:rsidR="00AE7304" w:rsidRPr="00BC3E49" w:rsidRDefault="00AE7304" w:rsidP="00BC3E49">
      <w:pPr>
        <w:pStyle w:val="Style2"/>
        <w:widowControl/>
        <w:jc w:val="both"/>
        <w:rPr>
          <w:rStyle w:val="FontStyle21"/>
          <w:sz w:val="18"/>
          <w:szCs w:val="18"/>
          <w:lang w:eastAsia="bg-BG"/>
        </w:rPr>
      </w:pPr>
      <w:r w:rsidRPr="00BC3E49">
        <w:rPr>
          <w:rStyle w:val="FootnoteReference"/>
          <w:sz w:val="18"/>
          <w:szCs w:val="18"/>
        </w:rPr>
        <w:footnoteRef/>
      </w:r>
      <w:r w:rsidRPr="00BC3E49">
        <w:rPr>
          <w:sz w:val="18"/>
          <w:szCs w:val="18"/>
        </w:rPr>
        <w:t xml:space="preserve"> </w:t>
      </w:r>
      <w:r w:rsidRPr="00BC3E49">
        <w:rPr>
          <w:sz w:val="18"/>
          <w:szCs w:val="18"/>
          <w:lang w:val="bg-BG"/>
        </w:rPr>
        <w:t>С</w:t>
      </w:r>
      <w:r w:rsidRPr="00BC3E49">
        <w:rPr>
          <w:rStyle w:val="FontStyle21"/>
          <w:sz w:val="18"/>
          <w:szCs w:val="18"/>
          <w:lang w:val="bg-BG" w:eastAsia="bg-BG"/>
        </w:rPr>
        <w:t>ъгласно</w:t>
      </w:r>
      <w:r w:rsidRPr="00BC3E49">
        <w:rPr>
          <w:rStyle w:val="FontStyle21"/>
          <w:sz w:val="18"/>
          <w:szCs w:val="18"/>
          <w:lang w:eastAsia="bg-BG"/>
        </w:rPr>
        <w:t xml:space="preserve"> WHO/Europe, HFA Database.</w:t>
      </w:r>
    </w:p>
    <w:p w:rsidR="00AE7304" w:rsidRDefault="00AE7304" w:rsidP="005F2097">
      <w:pPr>
        <w:pStyle w:val="FootnoteText"/>
        <w:jc w:val="both"/>
      </w:pPr>
    </w:p>
  </w:footnote>
  <w:footnote w:id="18">
    <w:p w:rsidR="00AE7304" w:rsidRPr="00EF1DFD" w:rsidRDefault="00AE7304" w:rsidP="00EF1DFD">
      <w:pPr>
        <w:pStyle w:val="FootnoteText"/>
        <w:ind w:left="142" w:hanging="142"/>
        <w:jc w:val="both"/>
        <w:rPr>
          <w:sz w:val="18"/>
          <w:szCs w:val="18"/>
        </w:rPr>
      </w:pPr>
      <w:r w:rsidRPr="00EF1DFD">
        <w:rPr>
          <w:rStyle w:val="FootnoteReference"/>
          <w:sz w:val="18"/>
          <w:szCs w:val="18"/>
        </w:rPr>
        <w:footnoteRef/>
      </w:r>
      <w:r>
        <w:rPr>
          <w:sz w:val="18"/>
          <w:szCs w:val="18"/>
        </w:rPr>
        <w:t xml:space="preserve"> </w:t>
      </w:r>
      <w:r w:rsidRPr="00EF1DFD">
        <w:rPr>
          <w:sz w:val="18"/>
          <w:szCs w:val="18"/>
        </w:rPr>
        <w:t xml:space="preserve">Коефициентът на възрастова зависимост показва броя на лицата от населението в „зависимите“ възрасти (населението под 15 и на 65 и повече навършени години) на 100 лица от населението в „независимите“ възрасти (от 15 до 64 години). Изчислява се в проценти.  </w:t>
      </w:r>
    </w:p>
  </w:footnote>
  <w:footnote w:id="19">
    <w:p w:rsidR="00AE7304" w:rsidRPr="00E1364C" w:rsidRDefault="00AE7304" w:rsidP="00E1364C">
      <w:pPr>
        <w:pStyle w:val="FootnoteText"/>
        <w:jc w:val="left"/>
        <w:rPr>
          <w:sz w:val="18"/>
          <w:szCs w:val="18"/>
          <w:lang w:val="ru-RU"/>
        </w:rPr>
      </w:pPr>
      <w:r w:rsidRPr="00E1364C">
        <w:rPr>
          <w:rStyle w:val="FootnoteReference"/>
          <w:sz w:val="18"/>
          <w:szCs w:val="18"/>
        </w:rPr>
        <w:footnoteRef/>
      </w:r>
      <w:r w:rsidRPr="00E1364C">
        <w:rPr>
          <w:sz w:val="18"/>
          <w:szCs w:val="18"/>
        </w:rPr>
        <w:t xml:space="preserve"> Възрастовите граници за разпределение на населението по категориите под, във и над трудоспособна възраст са определени съгласно Наредбата за пенсиите и осигурителния стаж, приета с Постановление № 30 на МС (ДВ, бр. 21/17.03.2000 година).  </w:t>
      </w:r>
    </w:p>
    <w:p w:rsidR="00AE7304" w:rsidRPr="00E1364C" w:rsidRDefault="00AE7304" w:rsidP="00E1364C">
      <w:pPr>
        <w:pStyle w:val="FootnoteText"/>
        <w:jc w:val="left"/>
      </w:pPr>
      <w:r>
        <w:t xml:space="preserve"> </w:t>
      </w:r>
    </w:p>
  </w:footnote>
  <w:footnote w:id="20">
    <w:p w:rsidR="00AE7304" w:rsidRDefault="00AE7304" w:rsidP="005F2097">
      <w:pPr>
        <w:pStyle w:val="FootnoteText"/>
        <w:jc w:val="both"/>
      </w:pPr>
      <w:r>
        <w:rPr>
          <w:rStyle w:val="FootnoteReference"/>
        </w:rPr>
        <w:footnoteRef/>
      </w:r>
      <w:r>
        <w:t xml:space="preserve"> </w:t>
      </w:r>
      <w:hyperlink r:id="rId7" w:history="1">
        <w:r w:rsidRPr="006A7E93">
          <w:rPr>
            <w:rStyle w:val="Hyperlink"/>
          </w:rPr>
          <w:t>https://ec.europa.eu/info/sites/info/files/economy-finance/ip065_en.pdf</w:t>
        </w:r>
      </w:hyperlink>
      <w:r>
        <w:t xml:space="preserve"> </w:t>
      </w:r>
    </w:p>
  </w:footnote>
  <w:footnote w:id="21">
    <w:p w:rsidR="00AE7304" w:rsidRPr="0047380C" w:rsidRDefault="00AE7304" w:rsidP="005F2097">
      <w:pPr>
        <w:pStyle w:val="Default"/>
        <w:jc w:val="both"/>
        <w:rPr>
          <w:sz w:val="20"/>
          <w:szCs w:val="20"/>
        </w:rPr>
      </w:pPr>
      <w:r w:rsidRPr="0047380C">
        <w:rPr>
          <w:rStyle w:val="FootnoteReference"/>
          <w:rFonts w:eastAsiaTheme="majorEastAsia"/>
          <w:sz w:val="20"/>
          <w:szCs w:val="20"/>
        </w:rPr>
        <w:footnoteRef/>
      </w:r>
      <w:r w:rsidRPr="0047380C">
        <w:rPr>
          <w:sz w:val="20"/>
          <w:szCs w:val="20"/>
        </w:rPr>
        <w:t xml:space="preserve"> Източник: Национален център за обществено здраве и анализи</w:t>
      </w:r>
      <w:r>
        <w:rPr>
          <w:sz w:val="20"/>
          <w:szCs w:val="20"/>
        </w:rPr>
        <w:t>, МЗ</w:t>
      </w:r>
      <w:r w:rsidRPr="0047380C">
        <w:rPr>
          <w:sz w:val="20"/>
          <w:szCs w:val="20"/>
        </w:rPr>
        <w:t>.</w:t>
      </w:r>
    </w:p>
    <w:p w:rsidR="00AE7304" w:rsidRPr="00A32B19" w:rsidRDefault="00AE7304" w:rsidP="005F2097">
      <w:pPr>
        <w:autoSpaceDE w:val="0"/>
        <w:autoSpaceDN w:val="0"/>
        <w:adjustRightInd w:val="0"/>
        <w:rPr>
          <w:sz w:val="20"/>
          <w:szCs w:val="20"/>
        </w:rPr>
      </w:pPr>
      <w:r w:rsidRPr="00A32B19">
        <w:rPr>
          <w:sz w:val="20"/>
          <w:szCs w:val="20"/>
        </w:rPr>
        <w:t xml:space="preserve"> </w:t>
      </w:r>
    </w:p>
  </w:footnote>
  <w:footnote w:id="22">
    <w:p w:rsidR="00AE7304" w:rsidRPr="00572189" w:rsidRDefault="00AE7304" w:rsidP="005F2097">
      <w:pPr>
        <w:pStyle w:val="FootnoteText"/>
        <w:jc w:val="both"/>
        <w:rPr>
          <w:sz w:val="18"/>
          <w:szCs w:val="18"/>
        </w:rPr>
      </w:pPr>
      <w:r w:rsidRPr="00572189">
        <w:rPr>
          <w:rStyle w:val="FootnoteReference"/>
          <w:sz w:val="18"/>
          <w:szCs w:val="18"/>
        </w:rPr>
        <w:footnoteRef/>
      </w:r>
      <w:r w:rsidRPr="00572189">
        <w:rPr>
          <w:sz w:val="18"/>
          <w:szCs w:val="18"/>
        </w:rPr>
        <w:t xml:space="preserve"> Справка: Национална концепция за насърчаване на активния живот на възрастните хора в България (2012-2030г.), </w:t>
      </w:r>
      <w:hyperlink r:id="rId8" w:history="1">
        <w:r w:rsidRPr="00572189">
          <w:rPr>
            <w:rStyle w:val="Hyperlink"/>
            <w:sz w:val="18"/>
            <w:szCs w:val="18"/>
          </w:rPr>
          <w:t>http://www.mlsp.government.bg/bg/docs/ACTIVE%20AGEING%20CONCEPT_2012-2030.doc</w:t>
        </w:r>
      </w:hyperlink>
    </w:p>
    <w:p w:rsidR="00AE7304" w:rsidRPr="00FE0E4A" w:rsidRDefault="00AE7304" w:rsidP="005F2097">
      <w:pPr>
        <w:pStyle w:val="FootnoteText"/>
      </w:pPr>
    </w:p>
  </w:footnote>
  <w:footnote w:id="23">
    <w:p w:rsidR="00AE7304" w:rsidRDefault="00AE7304" w:rsidP="003E58C0">
      <w:pPr>
        <w:pStyle w:val="FootnoteText"/>
        <w:jc w:val="both"/>
      </w:pPr>
      <w:r>
        <w:rPr>
          <w:rStyle w:val="FootnoteReference"/>
        </w:rPr>
        <w:footnoteRef/>
      </w:r>
      <w:r>
        <w:t xml:space="preserve"> </w:t>
      </w:r>
      <w:hyperlink r:id="rId9" w:history="1">
        <w:r w:rsidRPr="00332CB3">
          <w:rPr>
            <w:rStyle w:val="Hyperlink"/>
          </w:rPr>
          <w:t>https://esa.un.org/unpd/wpp/Publications/Files/WPP2019_KeyFindings.pdf</w:t>
        </w:r>
      </w:hyperlink>
    </w:p>
  </w:footnote>
  <w:footnote w:id="24">
    <w:p w:rsidR="00AE7304" w:rsidRDefault="00AE7304" w:rsidP="0041431B">
      <w:pPr>
        <w:pStyle w:val="FootnoteText"/>
        <w:jc w:val="left"/>
      </w:pPr>
      <w:r>
        <w:rPr>
          <w:rStyle w:val="FootnoteReference"/>
        </w:rPr>
        <w:footnoteRef/>
      </w:r>
      <w:r>
        <w:t xml:space="preserve"> </w:t>
      </w:r>
      <w:hyperlink r:id="rId10" w:history="1">
        <w:r w:rsidRPr="00101539">
          <w:rPr>
            <w:rStyle w:val="Hyperlink"/>
          </w:rPr>
          <w:t>https://knoema.com/atlas/topics/Demographics/Dependency-Ratios/Potential-support-ratio-15-64-per-65</w:t>
        </w:r>
      </w:hyperlink>
      <w:r>
        <w:t xml:space="preserve"> </w:t>
      </w:r>
    </w:p>
  </w:footnote>
  <w:footnote w:id="25">
    <w:p w:rsidR="00AE7304" w:rsidRDefault="00AE7304" w:rsidP="0092148B">
      <w:pPr>
        <w:pStyle w:val="FootnoteText"/>
        <w:jc w:val="both"/>
      </w:pPr>
      <w:r>
        <w:rPr>
          <w:rStyle w:val="FootnoteReference"/>
        </w:rPr>
        <w:footnoteRef/>
      </w:r>
      <w:r>
        <w:t xml:space="preserve"> </w:t>
      </w:r>
      <w:hyperlink r:id="rId11" w:history="1">
        <w:r w:rsidRPr="00B430F0">
          <w:rPr>
            <w:rStyle w:val="Hyperlink"/>
          </w:rPr>
          <w:t>http://register.consilium.europa.eu/doc/srv?l=BG&amp;f=ST%2017468%202012%20INIT</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304" w:rsidRDefault="00AE7304">
    <w:pPr>
      <w:pStyle w:val="Header"/>
    </w:pPr>
  </w:p>
  <w:p w:rsidR="00AE7304" w:rsidRDefault="00AE730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124E8"/>
    <w:multiLevelType w:val="hybridMultilevel"/>
    <w:tmpl w:val="2C5E78B0"/>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
    <w:nsid w:val="05D60F3F"/>
    <w:multiLevelType w:val="hybridMultilevel"/>
    <w:tmpl w:val="2D2C516A"/>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2">
    <w:nsid w:val="0A685CE5"/>
    <w:multiLevelType w:val="hybridMultilevel"/>
    <w:tmpl w:val="CC0A32D4"/>
    <w:lvl w:ilvl="0" w:tplc="596284DE">
      <w:numFmt w:val="bullet"/>
      <w:lvlText w:val="–"/>
      <w:lvlJc w:val="left"/>
      <w:pPr>
        <w:ind w:left="1069" w:hanging="360"/>
      </w:pPr>
      <w:rPr>
        <w:rFonts w:ascii="Times New Roman" w:eastAsia="MyriadPro-Regular" w:hAnsi="Times New Roman" w:cs="Times New Roman" w:hint="default"/>
        <w:color w:val="auto"/>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3">
    <w:nsid w:val="0AF75EA4"/>
    <w:multiLevelType w:val="hybridMultilevel"/>
    <w:tmpl w:val="3B56AED8"/>
    <w:lvl w:ilvl="0" w:tplc="BB787B6C">
      <w:numFmt w:val="bullet"/>
      <w:lvlText w:val="-"/>
      <w:lvlJc w:val="left"/>
      <w:pPr>
        <w:ind w:left="2140" w:hanging="360"/>
      </w:pPr>
      <w:rPr>
        <w:rFonts w:ascii="Verdana" w:eastAsia="Times New Roman" w:hAnsi="Verdana" w:cs="Times New Roman" w:hint="default"/>
      </w:rPr>
    </w:lvl>
    <w:lvl w:ilvl="1" w:tplc="04020003" w:tentative="1">
      <w:start w:val="1"/>
      <w:numFmt w:val="bullet"/>
      <w:lvlText w:val="o"/>
      <w:lvlJc w:val="left"/>
      <w:pPr>
        <w:ind w:left="2860" w:hanging="360"/>
      </w:pPr>
      <w:rPr>
        <w:rFonts w:ascii="Courier New" w:hAnsi="Courier New" w:cs="Courier New" w:hint="default"/>
      </w:rPr>
    </w:lvl>
    <w:lvl w:ilvl="2" w:tplc="04020005" w:tentative="1">
      <w:start w:val="1"/>
      <w:numFmt w:val="bullet"/>
      <w:lvlText w:val=""/>
      <w:lvlJc w:val="left"/>
      <w:pPr>
        <w:ind w:left="3580" w:hanging="360"/>
      </w:pPr>
      <w:rPr>
        <w:rFonts w:ascii="Wingdings" w:hAnsi="Wingdings" w:hint="default"/>
      </w:rPr>
    </w:lvl>
    <w:lvl w:ilvl="3" w:tplc="04020001" w:tentative="1">
      <w:start w:val="1"/>
      <w:numFmt w:val="bullet"/>
      <w:lvlText w:val=""/>
      <w:lvlJc w:val="left"/>
      <w:pPr>
        <w:ind w:left="4300" w:hanging="360"/>
      </w:pPr>
      <w:rPr>
        <w:rFonts w:ascii="Symbol" w:hAnsi="Symbol" w:hint="default"/>
      </w:rPr>
    </w:lvl>
    <w:lvl w:ilvl="4" w:tplc="04020003" w:tentative="1">
      <w:start w:val="1"/>
      <w:numFmt w:val="bullet"/>
      <w:lvlText w:val="o"/>
      <w:lvlJc w:val="left"/>
      <w:pPr>
        <w:ind w:left="5020" w:hanging="360"/>
      </w:pPr>
      <w:rPr>
        <w:rFonts w:ascii="Courier New" w:hAnsi="Courier New" w:cs="Courier New" w:hint="default"/>
      </w:rPr>
    </w:lvl>
    <w:lvl w:ilvl="5" w:tplc="04020005" w:tentative="1">
      <w:start w:val="1"/>
      <w:numFmt w:val="bullet"/>
      <w:lvlText w:val=""/>
      <w:lvlJc w:val="left"/>
      <w:pPr>
        <w:ind w:left="5740" w:hanging="360"/>
      </w:pPr>
      <w:rPr>
        <w:rFonts w:ascii="Wingdings" w:hAnsi="Wingdings" w:hint="default"/>
      </w:rPr>
    </w:lvl>
    <w:lvl w:ilvl="6" w:tplc="04020001" w:tentative="1">
      <w:start w:val="1"/>
      <w:numFmt w:val="bullet"/>
      <w:lvlText w:val=""/>
      <w:lvlJc w:val="left"/>
      <w:pPr>
        <w:ind w:left="6460" w:hanging="360"/>
      </w:pPr>
      <w:rPr>
        <w:rFonts w:ascii="Symbol" w:hAnsi="Symbol" w:hint="default"/>
      </w:rPr>
    </w:lvl>
    <w:lvl w:ilvl="7" w:tplc="04020003" w:tentative="1">
      <w:start w:val="1"/>
      <w:numFmt w:val="bullet"/>
      <w:lvlText w:val="o"/>
      <w:lvlJc w:val="left"/>
      <w:pPr>
        <w:ind w:left="7180" w:hanging="360"/>
      </w:pPr>
      <w:rPr>
        <w:rFonts w:ascii="Courier New" w:hAnsi="Courier New" w:cs="Courier New" w:hint="default"/>
      </w:rPr>
    </w:lvl>
    <w:lvl w:ilvl="8" w:tplc="04020005" w:tentative="1">
      <w:start w:val="1"/>
      <w:numFmt w:val="bullet"/>
      <w:lvlText w:val=""/>
      <w:lvlJc w:val="left"/>
      <w:pPr>
        <w:ind w:left="7900" w:hanging="360"/>
      </w:pPr>
      <w:rPr>
        <w:rFonts w:ascii="Wingdings" w:hAnsi="Wingdings" w:hint="default"/>
      </w:rPr>
    </w:lvl>
  </w:abstractNum>
  <w:abstractNum w:abstractNumId="4">
    <w:nsid w:val="103D2098"/>
    <w:multiLevelType w:val="hybridMultilevel"/>
    <w:tmpl w:val="530099FC"/>
    <w:lvl w:ilvl="0" w:tplc="0402000B">
      <w:start w:val="1"/>
      <w:numFmt w:val="bullet"/>
      <w:lvlText w:val=""/>
      <w:lvlJc w:val="left"/>
      <w:pPr>
        <w:ind w:left="2421" w:hanging="360"/>
      </w:pPr>
      <w:rPr>
        <w:rFonts w:ascii="Wingdings" w:hAnsi="Wingdings" w:hint="default"/>
      </w:rPr>
    </w:lvl>
    <w:lvl w:ilvl="1" w:tplc="04020003" w:tentative="1">
      <w:start w:val="1"/>
      <w:numFmt w:val="bullet"/>
      <w:lvlText w:val="o"/>
      <w:lvlJc w:val="left"/>
      <w:pPr>
        <w:ind w:left="3141" w:hanging="360"/>
      </w:pPr>
      <w:rPr>
        <w:rFonts w:ascii="Courier New" w:hAnsi="Courier New" w:cs="Courier New" w:hint="default"/>
      </w:rPr>
    </w:lvl>
    <w:lvl w:ilvl="2" w:tplc="04020005" w:tentative="1">
      <w:start w:val="1"/>
      <w:numFmt w:val="bullet"/>
      <w:lvlText w:val=""/>
      <w:lvlJc w:val="left"/>
      <w:pPr>
        <w:ind w:left="3861" w:hanging="360"/>
      </w:pPr>
      <w:rPr>
        <w:rFonts w:ascii="Wingdings" w:hAnsi="Wingdings" w:hint="default"/>
      </w:rPr>
    </w:lvl>
    <w:lvl w:ilvl="3" w:tplc="04020001" w:tentative="1">
      <w:start w:val="1"/>
      <w:numFmt w:val="bullet"/>
      <w:lvlText w:val=""/>
      <w:lvlJc w:val="left"/>
      <w:pPr>
        <w:ind w:left="4581" w:hanging="360"/>
      </w:pPr>
      <w:rPr>
        <w:rFonts w:ascii="Symbol" w:hAnsi="Symbol" w:hint="default"/>
      </w:rPr>
    </w:lvl>
    <w:lvl w:ilvl="4" w:tplc="04020003" w:tentative="1">
      <w:start w:val="1"/>
      <w:numFmt w:val="bullet"/>
      <w:lvlText w:val="o"/>
      <w:lvlJc w:val="left"/>
      <w:pPr>
        <w:ind w:left="5301" w:hanging="360"/>
      </w:pPr>
      <w:rPr>
        <w:rFonts w:ascii="Courier New" w:hAnsi="Courier New" w:cs="Courier New" w:hint="default"/>
      </w:rPr>
    </w:lvl>
    <w:lvl w:ilvl="5" w:tplc="04020005" w:tentative="1">
      <w:start w:val="1"/>
      <w:numFmt w:val="bullet"/>
      <w:lvlText w:val=""/>
      <w:lvlJc w:val="left"/>
      <w:pPr>
        <w:ind w:left="6021" w:hanging="360"/>
      </w:pPr>
      <w:rPr>
        <w:rFonts w:ascii="Wingdings" w:hAnsi="Wingdings" w:hint="default"/>
      </w:rPr>
    </w:lvl>
    <w:lvl w:ilvl="6" w:tplc="04020001" w:tentative="1">
      <w:start w:val="1"/>
      <w:numFmt w:val="bullet"/>
      <w:lvlText w:val=""/>
      <w:lvlJc w:val="left"/>
      <w:pPr>
        <w:ind w:left="6741" w:hanging="360"/>
      </w:pPr>
      <w:rPr>
        <w:rFonts w:ascii="Symbol" w:hAnsi="Symbol" w:hint="default"/>
      </w:rPr>
    </w:lvl>
    <w:lvl w:ilvl="7" w:tplc="04020003" w:tentative="1">
      <w:start w:val="1"/>
      <w:numFmt w:val="bullet"/>
      <w:lvlText w:val="o"/>
      <w:lvlJc w:val="left"/>
      <w:pPr>
        <w:ind w:left="7461" w:hanging="360"/>
      </w:pPr>
      <w:rPr>
        <w:rFonts w:ascii="Courier New" w:hAnsi="Courier New" w:cs="Courier New" w:hint="default"/>
      </w:rPr>
    </w:lvl>
    <w:lvl w:ilvl="8" w:tplc="04020005" w:tentative="1">
      <w:start w:val="1"/>
      <w:numFmt w:val="bullet"/>
      <w:lvlText w:val=""/>
      <w:lvlJc w:val="left"/>
      <w:pPr>
        <w:ind w:left="8181" w:hanging="360"/>
      </w:pPr>
      <w:rPr>
        <w:rFonts w:ascii="Wingdings" w:hAnsi="Wingdings" w:hint="default"/>
      </w:rPr>
    </w:lvl>
  </w:abstractNum>
  <w:abstractNum w:abstractNumId="5">
    <w:nsid w:val="12614965"/>
    <w:multiLevelType w:val="hybridMultilevel"/>
    <w:tmpl w:val="F936455C"/>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6">
    <w:nsid w:val="16E32943"/>
    <w:multiLevelType w:val="hybridMultilevel"/>
    <w:tmpl w:val="A956D996"/>
    <w:lvl w:ilvl="0" w:tplc="C0007332">
      <w:start w:val="1"/>
      <w:numFmt w:val="bullet"/>
      <w:lvlText w:val=""/>
      <w:lvlJc w:val="left"/>
      <w:pPr>
        <w:ind w:left="1287" w:hanging="360"/>
      </w:pPr>
      <w:rPr>
        <w:rFonts w:ascii="Symbol" w:hAnsi="Symbol" w:hint="default"/>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
    <w:nsid w:val="16E74DB4"/>
    <w:multiLevelType w:val="hybridMultilevel"/>
    <w:tmpl w:val="79AE8FD2"/>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8">
    <w:nsid w:val="190D5091"/>
    <w:multiLevelType w:val="hybridMultilevel"/>
    <w:tmpl w:val="3CBC8C1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nsid w:val="1DB900D0"/>
    <w:multiLevelType w:val="hybridMultilevel"/>
    <w:tmpl w:val="98D0ED7E"/>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0">
    <w:nsid w:val="22012DDA"/>
    <w:multiLevelType w:val="hybridMultilevel"/>
    <w:tmpl w:val="8B1C25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281E4552"/>
    <w:multiLevelType w:val="hybridMultilevel"/>
    <w:tmpl w:val="5F7EFA6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2D15333F"/>
    <w:multiLevelType w:val="hybridMultilevel"/>
    <w:tmpl w:val="0F94FA44"/>
    <w:lvl w:ilvl="0" w:tplc="BDF6F5B0">
      <w:start w:val="1"/>
      <w:numFmt w:val="decimal"/>
      <w:lvlText w:val="%1."/>
      <w:lvlJc w:val="left"/>
      <w:pPr>
        <w:ind w:left="643" w:hanging="360"/>
      </w:pPr>
      <w:rPr>
        <w:rFonts w:hint="default"/>
      </w:rPr>
    </w:lvl>
    <w:lvl w:ilvl="1" w:tplc="04020019" w:tentative="1">
      <w:start w:val="1"/>
      <w:numFmt w:val="lowerLetter"/>
      <w:lvlText w:val="%2."/>
      <w:lvlJc w:val="left"/>
      <w:pPr>
        <w:ind w:left="1363" w:hanging="360"/>
      </w:pPr>
    </w:lvl>
    <w:lvl w:ilvl="2" w:tplc="0402001B" w:tentative="1">
      <w:start w:val="1"/>
      <w:numFmt w:val="lowerRoman"/>
      <w:lvlText w:val="%3."/>
      <w:lvlJc w:val="right"/>
      <w:pPr>
        <w:ind w:left="2083" w:hanging="180"/>
      </w:pPr>
    </w:lvl>
    <w:lvl w:ilvl="3" w:tplc="0402000F" w:tentative="1">
      <w:start w:val="1"/>
      <w:numFmt w:val="decimal"/>
      <w:lvlText w:val="%4."/>
      <w:lvlJc w:val="left"/>
      <w:pPr>
        <w:ind w:left="2803" w:hanging="360"/>
      </w:pPr>
    </w:lvl>
    <w:lvl w:ilvl="4" w:tplc="04020019" w:tentative="1">
      <w:start w:val="1"/>
      <w:numFmt w:val="lowerLetter"/>
      <w:lvlText w:val="%5."/>
      <w:lvlJc w:val="left"/>
      <w:pPr>
        <w:ind w:left="3523" w:hanging="360"/>
      </w:pPr>
    </w:lvl>
    <w:lvl w:ilvl="5" w:tplc="0402001B" w:tentative="1">
      <w:start w:val="1"/>
      <w:numFmt w:val="lowerRoman"/>
      <w:lvlText w:val="%6."/>
      <w:lvlJc w:val="right"/>
      <w:pPr>
        <w:ind w:left="4243" w:hanging="180"/>
      </w:pPr>
    </w:lvl>
    <w:lvl w:ilvl="6" w:tplc="0402000F" w:tentative="1">
      <w:start w:val="1"/>
      <w:numFmt w:val="decimal"/>
      <w:lvlText w:val="%7."/>
      <w:lvlJc w:val="left"/>
      <w:pPr>
        <w:ind w:left="4963" w:hanging="360"/>
      </w:pPr>
    </w:lvl>
    <w:lvl w:ilvl="7" w:tplc="04020019" w:tentative="1">
      <w:start w:val="1"/>
      <w:numFmt w:val="lowerLetter"/>
      <w:lvlText w:val="%8."/>
      <w:lvlJc w:val="left"/>
      <w:pPr>
        <w:ind w:left="5683" w:hanging="360"/>
      </w:pPr>
    </w:lvl>
    <w:lvl w:ilvl="8" w:tplc="0402001B" w:tentative="1">
      <w:start w:val="1"/>
      <w:numFmt w:val="lowerRoman"/>
      <w:lvlText w:val="%9."/>
      <w:lvlJc w:val="right"/>
      <w:pPr>
        <w:ind w:left="6403" w:hanging="180"/>
      </w:pPr>
    </w:lvl>
  </w:abstractNum>
  <w:abstractNum w:abstractNumId="13">
    <w:nsid w:val="2DD33FFC"/>
    <w:multiLevelType w:val="hybridMultilevel"/>
    <w:tmpl w:val="AFAA7C60"/>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14">
    <w:nsid w:val="38414A06"/>
    <w:multiLevelType w:val="hybridMultilevel"/>
    <w:tmpl w:val="1CB82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7014B8"/>
    <w:multiLevelType w:val="hybridMultilevel"/>
    <w:tmpl w:val="24703F30"/>
    <w:lvl w:ilvl="0" w:tplc="5DA626C4">
      <w:start w:val="1"/>
      <w:numFmt w:val="bullet"/>
      <w:lvlText w:val=""/>
      <w:lvlJc w:val="left"/>
      <w:pPr>
        <w:tabs>
          <w:tab w:val="num" w:pos="1778"/>
        </w:tabs>
        <w:ind w:left="709" w:firstLine="709"/>
      </w:pPr>
      <w:rPr>
        <w:rFonts w:ascii="Wingdings" w:hAnsi="Wingdings" w:hint="default"/>
      </w:rPr>
    </w:lvl>
    <w:lvl w:ilvl="1" w:tplc="04090003">
      <w:start w:val="1"/>
      <w:numFmt w:val="bullet"/>
      <w:lvlText w:val="o"/>
      <w:lvlJc w:val="left"/>
      <w:pPr>
        <w:tabs>
          <w:tab w:val="num" w:pos="2149"/>
        </w:tabs>
        <w:ind w:left="2149" w:hanging="360"/>
      </w:pPr>
      <w:rPr>
        <w:rFonts w:ascii="Courier New" w:hAnsi="Courier New" w:hint="default"/>
      </w:rPr>
    </w:lvl>
    <w:lvl w:ilvl="2" w:tplc="6B8A1C8A">
      <w:numFmt w:val="bullet"/>
      <w:lvlText w:val="-"/>
      <w:lvlJc w:val="left"/>
      <w:pPr>
        <w:tabs>
          <w:tab w:val="num" w:pos="2869"/>
        </w:tabs>
        <w:ind w:left="2869" w:hanging="360"/>
      </w:pPr>
      <w:rPr>
        <w:rFonts w:ascii="Times New Roman" w:eastAsia="Times New Roman" w:hAnsi="Times New Roman" w:cs="Times New Roman"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6">
    <w:nsid w:val="3CBA5AD1"/>
    <w:multiLevelType w:val="hybridMultilevel"/>
    <w:tmpl w:val="88C46966"/>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7">
    <w:nsid w:val="423E0203"/>
    <w:multiLevelType w:val="hybridMultilevel"/>
    <w:tmpl w:val="2C6EC66E"/>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8">
    <w:nsid w:val="47972158"/>
    <w:multiLevelType w:val="hybridMultilevel"/>
    <w:tmpl w:val="34DE9DAC"/>
    <w:lvl w:ilvl="0" w:tplc="0402000B">
      <w:start w:val="1"/>
      <w:numFmt w:val="bullet"/>
      <w:lvlText w:val=""/>
      <w:lvlJc w:val="left"/>
      <w:pPr>
        <w:ind w:left="1778"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19">
    <w:nsid w:val="4EE74C55"/>
    <w:multiLevelType w:val="hybridMultilevel"/>
    <w:tmpl w:val="60446CB0"/>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20">
    <w:nsid w:val="4F1A63AD"/>
    <w:multiLevelType w:val="hybridMultilevel"/>
    <w:tmpl w:val="590EE7F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50E0661E"/>
    <w:multiLevelType w:val="hybridMultilevel"/>
    <w:tmpl w:val="D9669EB2"/>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22">
    <w:nsid w:val="5720233A"/>
    <w:multiLevelType w:val="hybridMultilevel"/>
    <w:tmpl w:val="33CA16C6"/>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23">
    <w:nsid w:val="58254F26"/>
    <w:multiLevelType w:val="hybridMultilevel"/>
    <w:tmpl w:val="ACD02626"/>
    <w:lvl w:ilvl="0" w:tplc="0388B4CC">
      <w:start w:val="1"/>
      <w:numFmt w:val="decimal"/>
      <w:lvlText w:val="%1."/>
      <w:lvlJc w:val="left"/>
      <w:pPr>
        <w:ind w:left="720" w:hanging="360"/>
      </w:pPr>
      <w:rPr>
        <w:rFonts w:hint="default"/>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593630D6"/>
    <w:multiLevelType w:val="hybridMultilevel"/>
    <w:tmpl w:val="803058F6"/>
    <w:lvl w:ilvl="0" w:tplc="0402000B">
      <w:start w:val="1"/>
      <w:numFmt w:val="bullet"/>
      <w:lvlText w:val=""/>
      <w:lvlJc w:val="left"/>
      <w:pPr>
        <w:ind w:left="2062" w:hanging="360"/>
      </w:pPr>
      <w:rPr>
        <w:rFonts w:ascii="Wingdings" w:hAnsi="Wingdings" w:hint="default"/>
      </w:rPr>
    </w:lvl>
    <w:lvl w:ilvl="1" w:tplc="04020003" w:tentative="1">
      <w:start w:val="1"/>
      <w:numFmt w:val="bullet"/>
      <w:lvlText w:val="o"/>
      <w:lvlJc w:val="left"/>
      <w:pPr>
        <w:ind w:left="2520" w:hanging="360"/>
      </w:pPr>
      <w:rPr>
        <w:rFonts w:ascii="Courier New" w:hAnsi="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25">
    <w:nsid w:val="594749DC"/>
    <w:multiLevelType w:val="hybridMultilevel"/>
    <w:tmpl w:val="70E8FDDC"/>
    <w:lvl w:ilvl="0" w:tplc="0402000B">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26">
    <w:nsid w:val="5B3F44AE"/>
    <w:multiLevelType w:val="hybridMultilevel"/>
    <w:tmpl w:val="DDB4D0E2"/>
    <w:lvl w:ilvl="0" w:tplc="8BD62124">
      <w:start w:val="1"/>
      <w:numFmt w:val="bullet"/>
      <w:lvlText w:val=""/>
      <w:lvlJc w:val="left"/>
      <w:pPr>
        <w:ind w:left="810" w:hanging="360"/>
      </w:pPr>
      <w:rPr>
        <w:rFonts w:ascii="Symbol" w:hAnsi="Symbol" w:hint="default"/>
      </w:rPr>
    </w:lvl>
    <w:lvl w:ilvl="1" w:tplc="04020003" w:tentative="1">
      <w:start w:val="1"/>
      <w:numFmt w:val="bullet"/>
      <w:lvlText w:val="o"/>
      <w:lvlJc w:val="left"/>
      <w:pPr>
        <w:ind w:left="1530" w:hanging="360"/>
      </w:pPr>
      <w:rPr>
        <w:rFonts w:ascii="Courier New" w:hAnsi="Courier New" w:cs="Courier New" w:hint="default"/>
      </w:rPr>
    </w:lvl>
    <w:lvl w:ilvl="2" w:tplc="04020005" w:tentative="1">
      <w:start w:val="1"/>
      <w:numFmt w:val="bullet"/>
      <w:lvlText w:val=""/>
      <w:lvlJc w:val="left"/>
      <w:pPr>
        <w:ind w:left="2250" w:hanging="360"/>
      </w:pPr>
      <w:rPr>
        <w:rFonts w:ascii="Wingdings" w:hAnsi="Wingdings" w:hint="default"/>
      </w:rPr>
    </w:lvl>
    <w:lvl w:ilvl="3" w:tplc="04020001" w:tentative="1">
      <w:start w:val="1"/>
      <w:numFmt w:val="bullet"/>
      <w:lvlText w:val=""/>
      <w:lvlJc w:val="left"/>
      <w:pPr>
        <w:ind w:left="2970" w:hanging="360"/>
      </w:pPr>
      <w:rPr>
        <w:rFonts w:ascii="Symbol" w:hAnsi="Symbol" w:hint="default"/>
      </w:rPr>
    </w:lvl>
    <w:lvl w:ilvl="4" w:tplc="04020003" w:tentative="1">
      <w:start w:val="1"/>
      <w:numFmt w:val="bullet"/>
      <w:lvlText w:val="o"/>
      <w:lvlJc w:val="left"/>
      <w:pPr>
        <w:ind w:left="3690" w:hanging="360"/>
      </w:pPr>
      <w:rPr>
        <w:rFonts w:ascii="Courier New" w:hAnsi="Courier New" w:cs="Courier New" w:hint="default"/>
      </w:rPr>
    </w:lvl>
    <w:lvl w:ilvl="5" w:tplc="04020005" w:tentative="1">
      <w:start w:val="1"/>
      <w:numFmt w:val="bullet"/>
      <w:lvlText w:val=""/>
      <w:lvlJc w:val="left"/>
      <w:pPr>
        <w:ind w:left="4410" w:hanging="360"/>
      </w:pPr>
      <w:rPr>
        <w:rFonts w:ascii="Wingdings" w:hAnsi="Wingdings" w:hint="default"/>
      </w:rPr>
    </w:lvl>
    <w:lvl w:ilvl="6" w:tplc="04020001" w:tentative="1">
      <w:start w:val="1"/>
      <w:numFmt w:val="bullet"/>
      <w:lvlText w:val=""/>
      <w:lvlJc w:val="left"/>
      <w:pPr>
        <w:ind w:left="5130" w:hanging="360"/>
      </w:pPr>
      <w:rPr>
        <w:rFonts w:ascii="Symbol" w:hAnsi="Symbol" w:hint="default"/>
      </w:rPr>
    </w:lvl>
    <w:lvl w:ilvl="7" w:tplc="04020003" w:tentative="1">
      <w:start w:val="1"/>
      <w:numFmt w:val="bullet"/>
      <w:lvlText w:val="o"/>
      <w:lvlJc w:val="left"/>
      <w:pPr>
        <w:ind w:left="5850" w:hanging="360"/>
      </w:pPr>
      <w:rPr>
        <w:rFonts w:ascii="Courier New" w:hAnsi="Courier New" w:cs="Courier New" w:hint="default"/>
      </w:rPr>
    </w:lvl>
    <w:lvl w:ilvl="8" w:tplc="04020005" w:tentative="1">
      <w:start w:val="1"/>
      <w:numFmt w:val="bullet"/>
      <w:lvlText w:val=""/>
      <w:lvlJc w:val="left"/>
      <w:pPr>
        <w:ind w:left="6570" w:hanging="360"/>
      </w:pPr>
      <w:rPr>
        <w:rFonts w:ascii="Wingdings" w:hAnsi="Wingdings" w:hint="default"/>
      </w:rPr>
    </w:lvl>
  </w:abstractNum>
  <w:abstractNum w:abstractNumId="27">
    <w:nsid w:val="5DAC5570"/>
    <w:multiLevelType w:val="hybridMultilevel"/>
    <w:tmpl w:val="CDF016C4"/>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28">
    <w:nsid w:val="5F54532B"/>
    <w:multiLevelType w:val="hybridMultilevel"/>
    <w:tmpl w:val="A8F8A6A8"/>
    <w:lvl w:ilvl="0" w:tplc="04020001">
      <w:start w:val="1"/>
      <w:numFmt w:val="bullet"/>
      <w:lvlText w:val=""/>
      <w:lvlJc w:val="left"/>
      <w:pPr>
        <w:ind w:left="630" w:hanging="360"/>
      </w:pPr>
      <w:rPr>
        <w:rFonts w:ascii="Symbol" w:hAnsi="Symbol" w:hint="default"/>
      </w:rPr>
    </w:lvl>
    <w:lvl w:ilvl="1" w:tplc="04020003" w:tentative="1">
      <w:start w:val="1"/>
      <w:numFmt w:val="bullet"/>
      <w:lvlText w:val="o"/>
      <w:lvlJc w:val="left"/>
      <w:pPr>
        <w:ind w:left="1350" w:hanging="360"/>
      </w:pPr>
      <w:rPr>
        <w:rFonts w:ascii="Courier New" w:hAnsi="Courier New" w:cs="Courier New" w:hint="default"/>
      </w:rPr>
    </w:lvl>
    <w:lvl w:ilvl="2" w:tplc="04020005" w:tentative="1">
      <w:start w:val="1"/>
      <w:numFmt w:val="bullet"/>
      <w:lvlText w:val=""/>
      <w:lvlJc w:val="left"/>
      <w:pPr>
        <w:ind w:left="2070" w:hanging="360"/>
      </w:pPr>
      <w:rPr>
        <w:rFonts w:ascii="Wingdings" w:hAnsi="Wingdings" w:hint="default"/>
      </w:rPr>
    </w:lvl>
    <w:lvl w:ilvl="3" w:tplc="04020001" w:tentative="1">
      <w:start w:val="1"/>
      <w:numFmt w:val="bullet"/>
      <w:lvlText w:val=""/>
      <w:lvlJc w:val="left"/>
      <w:pPr>
        <w:ind w:left="2790" w:hanging="360"/>
      </w:pPr>
      <w:rPr>
        <w:rFonts w:ascii="Symbol" w:hAnsi="Symbol" w:hint="default"/>
      </w:rPr>
    </w:lvl>
    <w:lvl w:ilvl="4" w:tplc="04020003" w:tentative="1">
      <w:start w:val="1"/>
      <w:numFmt w:val="bullet"/>
      <w:lvlText w:val="o"/>
      <w:lvlJc w:val="left"/>
      <w:pPr>
        <w:ind w:left="3510" w:hanging="360"/>
      </w:pPr>
      <w:rPr>
        <w:rFonts w:ascii="Courier New" w:hAnsi="Courier New" w:cs="Courier New" w:hint="default"/>
      </w:rPr>
    </w:lvl>
    <w:lvl w:ilvl="5" w:tplc="04020005" w:tentative="1">
      <w:start w:val="1"/>
      <w:numFmt w:val="bullet"/>
      <w:lvlText w:val=""/>
      <w:lvlJc w:val="left"/>
      <w:pPr>
        <w:ind w:left="4230" w:hanging="360"/>
      </w:pPr>
      <w:rPr>
        <w:rFonts w:ascii="Wingdings" w:hAnsi="Wingdings" w:hint="default"/>
      </w:rPr>
    </w:lvl>
    <w:lvl w:ilvl="6" w:tplc="04020001" w:tentative="1">
      <w:start w:val="1"/>
      <w:numFmt w:val="bullet"/>
      <w:lvlText w:val=""/>
      <w:lvlJc w:val="left"/>
      <w:pPr>
        <w:ind w:left="4950" w:hanging="360"/>
      </w:pPr>
      <w:rPr>
        <w:rFonts w:ascii="Symbol" w:hAnsi="Symbol" w:hint="default"/>
      </w:rPr>
    </w:lvl>
    <w:lvl w:ilvl="7" w:tplc="04020003" w:tentative="1">
      <w:start w:val="1"/>
      <w:numFmt w:val="bullet"/>
      <w:lvlText w:val="o"/>
      <w:lvlJc w:val="left"/>
      <w:pPr>
        <w:ind w:left="5670" w:hanging="360"/>
      </w:pPr>
      <w:rPr>
        <w:rFonts w:ascii="Courier New" w:hAnsi="Courier New" w:cs="Courier New" w:hint="default"/>
      </w:rPr>
    </w:lvl>
    <w:lvl w:ilvl="8" w:tplc="04020005" w:tentative="1">
      <w:start w:val="1"/>
      <w:numFmt w:val="bullet"/>
      <w:lvlText w:val=""/>
      <w:lvlJc w:val="left"/>
      <w:pPr>
        <w:ind w:left="6390" w:hanging="360"/>
      </w:pPr>
      <w:rPr>
        <w:rFonts w:ascii="Wingdings" w:hAnsi="Wingdings" w:hint="default"/>
      </w:rPr>
    </w:lvl>
  </w:abstractNum>
  <w:abstractNum w:abstractNumId="29">
    <w:nsid w:val="606C619D"/>
    <w:multiLevelType w:val="hybridMultilevel"/>
    <w:tmpl w:val="2C647BF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63807EAE"/>
    <w:multiLevelType w:val="hybridMultilevel"/>
    <w:tmpl w:val="49664F30"/>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1">
    <w:nsid w:val="685C5F48"/>
    <w:multiLevelType w:val="hybridMultilevel"/>
    <w:tmpl w:val="4476F76A"/>
    <w:lvl w:ilvl="0" w:tplc="8BD62124">
      <w:start w:val="1"/>
      <w:numFmt w:val="bullet"/>
      <w:lvlText w:val=""/>
      <w:lvlJc w:val="left"/>
      <w:pPr>
        <w:ind w:left="36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nsid w:val="69930B24"/>
    <w:multiLevelType w:val="multilevel"/>
    <w:tmpl w:val="29808A4A"/>
    <w:lvl w:ilvl="0">
      <w:start w:val="1"/>
      <w:numFmt w:val="decimal"/>
      <w:lvlText w:val="%1."/>
      <w:lvlJc w:val="left"/>
      <w:pPr>
        <w:ind w:left="360" w:hanging="360"/>
      </w:pPr>
      <w:rPr>
        <w:rFonts w:hint="default"/>
        <w:b/>
        <w:sz w:val="24"/>
      </w:rPr>
    </w:lvl>
    <w:lvl w:ilvl="1">
      <w:start w:val="1"/>
      <w:numFmt w:val="decimal"/>
      <w:lvlText w:val="%1.%2."/>
      <w:lvlJc w:val="left"/>
      <w:pPr>
        <w:ind w:left="360" w:hanging="360"/>
      </w:pPr>
      <w:rPr>
        <w:rFonts w:hint="default"/>
        <w:b/>
        <w:sz w:val="24"/>
      </w:rPr>
    </w:lvl>
    <w:lvl w:ilvl="2">
      <w:start w:val="1"/>
      <w:numFmt w:val="decimal"/>
      <w:lvlText w:val="%1.%2.%3."/>
      <w:lvlJc w:val="left"/>
      <w:pPr>
        <w:ind w:left="720" w:hanging="720"/>
      </w:pPr>
      <w:rPr>
        <w:rFonts w:hint="default"/>
        <w:b/>
        <w:sz w:val="24"/>
      </w:rPr>
    </w:lvl>
    <w:lvl w:ilvl="3">
      <w:start w:val="1"/>
      <w:numFmt w:val="decimal"/>
      <w:lvlText w:val="%1.%2.%3.%4."/>
      <w:lvlJc w:val="left"/>
      <w:pPr>
        <w:ind w:left="720" w:hanging="720"/>
      </w:pPr>
      <w:rPr>
        <w:rFonts w:hint="default"/>
        <w:b/>
        <w:sz w:val="24"/>
      </w:rPr>
    </w:lvl>
    <w:lvl w:ilvl="4">
      <w:start w:val="1"/>
      <w:numFmt w:val="decimal"/>
      <w:lvlText w:val="%1.%2.%3.%4.%5."/>
      <w:lvlJc w:val="left"/>
      <w:pPr>
        <w:ind w:left="1080" w:hanging="108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440" w:hanging="144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800" w:hanging="1800"/>
      </w:pPr>
      <w:rPr>
        <w:rFonts w:hint="default"/>
        <w:b/>
        <w:sz w:val="24"/>
      </w:rPr>
    </w:lvl>
  </w:abstractNum>
  <w:abstractNum w:abstractNumId="33">
    <w:nsid w:val="6AD36C2A"/>
    <w:multiLevelType w:val="hybridMultilevel"/>
    <w:tmpl w:val="828482A2"/>
    <w:lvl w:ilvl="0" w:tplc="04020001">
      <w:start w:val="1"/>
      <w:numFmt w:val="bullet"/>
      <w:lvlText w:val=""/>
      <w:lvlJc w:val="left"/>
      <w:pPr>
        <w:tabs>
          <w:tab w:val="num" w:pos="1069"/>
        </w:tabs>
        <w:ind w:left="1021" w:hanging="312"/>
      </w:pPr>
      <w:rPr>
        <w:rFonts w:ascii="Symbol" w:hAnsi="Symbol" w:hint="default"/>
        <w:sz w:val="22"/>
      </w:rPr>
    </w:lvl>
    <w:lvl w:ilvl="1" w:tplc="04090019" w:tentative="1">
      <w:start w:val="1"/>
      <w:numFmt w:val="lowerLetter"/>
      <w:lvlText w:val="%2."/>
      <w:lvlJc w:val="left"/>
      <w:pPr>
        <w:tabs>
          <w:tab w:val="num" w:pos="1789"/>
        </w:tabs>
        <w:ind w:left="1789" w:hanging="360"/>
      </w:pPr>
    </w:lvl>
    <w:lvl w:ilvl="2" w:tplc="0409001B" w:tentative="1">
      <w:start w:val="1"/>
      <w:numFmt w:val="lowerRoman"/>
      <w:lvlText w:val="%3."/>
      <w:lvlJc w:val="right"/>
      <w:pPr>
        <w:tabs>
          <w:tab w:val="num" w:pos="2509"/>
        </w:tabs>
        <w:ind w:left="2509" w:hanging="180"/>
      </w:pPr>
    </w:lvl>
    <w:lvl w:ilvl="3" w:tplc="0409000F" w:tentative="1">
      <w:start w:val="1"/>
      <w:numFmt w:val="decimal"/>
      <w:lvlText w:val="%4."/>
      <w:lvlJc w:val="left"/>
      <w:pPr>
        <w:tabs>
          <w:tab w:val="num" w:pos="3229"/>
        </w:tabs>
        <w:ind w:left="3229" w:hanging="360"/>
      </w:pPr>
    </w:lvl>
    <w:lvl w:ilvl="4" w:tplc="04090019" w:tentative="1">
      <w:start w:val="1"/>
      <w:numFmt w:val="lowerLetter"/>
      <w:lvlText w:val="%5."/>
      <w:lvlJc w:val="left"/>
      <w:pPr>
        <w:tabs>
          <w:tab w:val="num" w:pos="3949"/>
        </w:tabs>
        <w:ind w:left="3949" w:hanging="360"/>
      </w:pPr>
    </w:lvl>
    <w:lvl w:ilvl="5" w:tplc="0409001B" w:tentative="1">
      <w:start w:val="1"/>
      <w:numFmt w:val="lowerRoman"/>
      <w:lvlText w:val="%6."/>
      <w:lvlJc w:val="right"/>
      <w:pPr>
        <w:tabs>
          <w:tab w:val="num" w:pos="4669"/>
        </w:tabs>
        <w:ind w:left="4669" w:hanging="180"/>
      </w:pPr>
    </w:lvl>
    <w:lvl w:ilvl="6" w:tplc="0409000F" w:tentative="1">
      <w:start w:val="1"/>
      <w:numFmt w:val="decimal"/>
      <w:lvlText w:val="%7."/>
      <w:lvlJc w:val="left"/>
      <w:pPr>
        <w:tabs>
          <w:tab w:val="num" w:pos="5389"/>
        </w:tabs>
        <w:ind w:left="5389" w:hanging="360"/>
      </w:pPr>
    </w:lvl>
    <w:lvl w:ilvl="7" w:tplc="04090019" w:tentative="1">
      <w:start w:val="1"/>
      <w:numFmt w:val="lowerLetter"/>
      <w:lvlText w:val="%8."/>
      <w:lvlJc w:val="left"/>
      <w:pPr>
        <w:tabs>
          <w:tab w:val="num" w:pos="6109"/>
        </w:tabs>
        <w:ind w:left="6109" w:hanging="360"/>
      </w:pPr>
    </w:lvl>
    <w:lvl w:ilvl="8" w:tplc="0409001B" w:tentative="1">
      <w:start w:val="1"/>
      <w:numFmt w:val="lowerRoman"/>
      <w:lvlText w:val="%9."/>
      <w:lvlJc w:val="right"/>
      <w:pPr>
        <w:tabs>
          <w:tab w:val="num" w:pos="6829"/>
        </w:tabs>
        <w:ind w:left="6829" w:hanging="180"/>
      </w:pPr>
    </w:lvl>
  </w:abstractNum>
  <w:abstractNum w:abstractNumId="34">
    <w:nsid w:val="6B196F78"/>
    <w:multiLevelType w:val="hybridMultilevel"/>
    <w:tmpl w:val="0A608222"/>
    <w:lvl w:ilvl="0" w:tplc="0402000B">
      <w:start w:val="1"/>
      <w:numFmt w:val="bullet"/>
      <w:lvlText w:val=""/>
      <w:lvlJc w:val="left"/>
      <w:pPr>
        <w:ind w:left="1428" w:hanging="360"/>
      </w:pPr>
      <w:rPr>
        <w:rFonts w:ascii="Wingdings" w:hAnsi="Wingdings" w:hint="default"/>
        <w:b w:val="0"/>
        <w:i w:val="0"/>
        <w:strike w:val="0"/>
        <w:dstrike w:val="0"/>
        <w:color w:val="auto"/>
        <w:sz w:val="20"/>
        <w:u w:val="none"/>
        <w:vertAlign w:val="baseline"/>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5">
    <w:nsid w:val="6D081771"/>
    <w:multiLevelType w:val="multilevel"/>
    <w:tmpl w:val="F5B826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734C7256"/>
    <w:multiLevelType w:val="hybridMultilevel"/>
    <w:tmpl w:val="568CA9B6"/>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7">
    <w:nsid w:val="74BA587C"/>
    <w:multiLevelType w:val="hybridMultilevel"/>
    <w:tmpl w:val="C6203FA2"/>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8">
    <w:nsid w:val="7AEF7A53"/>
    <w:multiLevelType w:val="hybridMultilevel"/>
    <w:tmpl w:val="3C8C25E0"/>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39">
    <w:nsid w:val="7C9B1E76"/>
    <w:multiLevelType w:val="hybridMultilevel"/>
    <w:tmpl w:val="8E002EEA"/>
    <w:lvl w:ilvl="0" w:tplc="EC8A241C">
      <w:numFmt w:val="bullet"/>
      <w:lvlText w:val="–"/>
      <w:lvlJc w:val="left"/>
      <w:pPr>
        <w:ind w:left="1069" w:hanging="360"/>
      </w:pPr>
      <w:rPr>
        <w:rFonts w:ascii="Times New Roman" w:eastAsia="MyriadPro-Regular" w:hAnsi="Times New Roman" w:cs="Times New Roman" w:hint="default"/>
        <w:color w:val="auto"/>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40">
    <w:nsid w:val="7FA40596"/>
    <w:multiLevelType w:val="hybridMultilevel"/>
    <w:tmpl w:val="FC5CDED4"/>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num w:numId="1">
    <w:abstractNumId w:val="15"/>
  </w:num>
  <w:num w:numId="2">
    <w:abstractNumId w:val="33"/>
  </w:num>
  <w:num w:numId="3">
    <w:abstractNumId w:val="34"/>
  </w:num>
  <w:num w:numId="4">
    <w:abstractNumId w:val="29"/>
  </w:num>
  <w:num w:numId="5">
    <w:abstractNumId w:val="35"/>
  </w:num>
  <w:num w:numId="6">
    <w:abstractNumId w:val="32"/>
  </w:num>
  <w:num w:numId="7">
    <w:abstractNumId w:val="2"/>
  </w:num>
  <w:num w:numId="8">
    <w:abstractNumId w:val="39"/>
  </w:num>
  <w:num w:numId="9">
    <w:abstractNumId w:val="11"/>
  </w:num>
  <w:num w:numId="10">
    <w:abstractNumId w:val="20"/>
  </w:num>
  <w:num w:numId="11">
    <w:abstractNumId w:val="17"/>
  </w:num>
  <w:num w:numId="12">
    <w:abstractNumId w:val="24"/>
  </w:num>
  <w:num w:numId="13">
    <w:abstractNumId w:val="25"/>
  </w:num>
  <w:num w:numId="14">
    <w:abstractNumId w:val="7"/>
  </w:num>
  <w:num w:numId="15">
    <w:abstractNumId w:val="19"/>
  </w:num>
  <w:num w:numId="16">
    <w:abstractNumId w:val="27"/>
  </w:num>
  <w:num w:numId="17">
    <w:abstractNumId w:val="1"/>
  </w:num>
  <w:num w:numId="18">
    <w:abstractNumId w:val="37"/>
  </w:num>
  <w:num w:numId="19">
    <w:abstractNumId w:val="18"/>
  </w:num>
  <w:num w:numId="20">
    <w:abstractNumId w:val="38"/>
  </w:num>
  <w:num w:numId="21">
    <w:abstractNumId w:val="21"/>
  </w:num>
  <w:num w:numId="22">
    <w:abstractNumId w:val="13"/>
  </w:num>
  <w:num w:numId="23">
    <w:abstractNumId w:val="5"/>
  </w:num>
  <w:num w:numId="24">
    <w:abstractNumId w:val="22"/>
  </w:num>
  <w:num w:numId="25">
    <w:abstractNumId w:val="4"/>
  </w:num>
  <w:num w:numId="26">
    <w:abstractNumId w:val="3"/>
  </w:num>
  <w:num w:numId="27">
    <w:abstractNumId w:val="6"/>
  </w:num>
  <w:num w:numId="28">
    <w:abstractNumId w:val="31"/>
  </w:num>
  <w:num w:numId="29">
    <w:abstractNumId w:val="12"/>
  </w:num>
  <w:num w:numId="30">
    <w:abstractNumId w:val="28"/>
  </w:num>
  <w:num w:numId="31">
    <w:abstractNumId w:val="23"/>
  </w:num>
  <w:num w:numId="32">
    <w:abstractNumId w:val="26"/>
  </w:num>
  <w:num w:numId="33">
    <w:abstractNumId w:val="8"/>
  </w:num>
  <w:num w:numId="34">
    <w:abstractNumId w:val="0"/>
  </w:num>
  <w:num w:numId="35">
    <w:abstractNumId w:val="14"/>
  </w:num>
  <w:num w:numId="36">
    <w:abstractNumId w:val="10"/>
  </w:num>
  <w:num w:numId="37">
    <w:abstractNumId w:val="40"/>
  </w:num>
  <w:num w:numId="38">
    <w:abstractNumId w:val="9"/>
  </w:num>
  <w:num w:numId="39">
    <w:abstractNumId w:val="30"/>
  </w:num>
  <w:num w:numId="40">
    <w:abstractNumId w:val="16"/>
  </w:num>
  <w:num w:numId="41">
    <w:abstractNumId w:val="3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097"/>
    <w:rsid w:val="000310DE"/>
    <w:rsid w:val="00041F94"/>
    <w:rsid w:val="00047B52"/>
    <w:rsid w:val="00060802"/>
    <w:rsid w:val="000811F8"/>
    <w:rsid w:val="000815E6"/>
    <w:rsid w:val="0009677D"/>
    <w:rsid w:val="000D51A2"/>
    <w:rsid w:val="000E1701"/>
    <w:rsid w:val="001177B8"/>
    <w:rsid w:val="0015080E"/>
    <w:rsid w:val="00150CA6"/>
    <w:rsid w:val="00153010"/>
    <w:rsid w:val="00156E73"/>
    <w:rsid w:val="00166650"/>
    <w:rsid w:val="00170827"/>
    <w:rsid w:val="001777F1"/>
    <w:rsid w:val="00192274"/>
    <w:rsid w:val="001A1252"/>
    <w:rsid w:val="001C3639"/>
    <w:rsid w:val="001E4B71"/>
    <w:rsid w:val="001E716A"/>
    <w:rsid w:val="002000F0"/>
    <w:rsid w:val="00217E58"/>
    <w:rsid w:val="00220B52"/>
    <w:rsid w:val="002235BD"/>
    <w:rsid w:val="00236074"/>
    <w:rsid w:val="002501B8"/>
    <w:rsid w:val="00257BF7"/>
    <w:rsid w:val="00260272"/>
    <w:rsid w:val="0026126B"/>
    <w:rsid w:val="00261F06"/>
    <w:rsid w:val="00283800"/>
    <w:rsid w:val="002B178D"/>
    <w:rsid w:val="002B4DFA"/>
    <w:rsid w:val="002B6EEC"/>
    <w:rsid w:val="002C0123"/>
    <w:rsid w:val="002E685E"/>
    <w:rsid w:val="003100D2"/>
    <w:rsid w:val="003460FF"/>
    <w:rsid w:val="00355DDA"/>
    <w:rsid w:val="0036754C"/>
    <w:rsid w:val="003A0840"/>
    <w:rsid w:val="003B278F"/>
    <w:rsid w:val="003C2D61"/>
    <w:rsid w:val="003E0A6B"/>
    <w:rsid w:val="003E58C0"/>
    <w:rsid w:val="00411B9B"/>
    <w:rsid w:val="0041431B"/>
    <w:rsid w:val="00423310"/>
    <w:rsid w:val="00425892"/>
    <w:rsid w:val="00432E1A"/>
    <w:rsid w:val="00444B39"/>
    <w:rsid w:val="004756F5"/>
    <w:rsid w:val="004947E6"/>
    <w:rsid w:val="004B3907"/>
    <w:rsid w:val="004B6BAC"/>
    <w:rsid w:val="004B7D1E"/>
    <w:rsid w:val="004C5B5C"/>
    <w:rsid w:val="004C6069"/>
    <w:rsid w:val="004D1375"/>
    <w:rsid w:val="004E4034"/>
    <w:rsid w:val="004E7553"/>
    <w:rsid w:val="005208B0"/>
    <w:rsid w:val="00536174"/>
    <w:rsid w:val="00557B17"/>
    <w:rsid w:val="00561825"/>
    <w:rsid w:val="00565BDF"/>
    <w:rsid w:val="00572189"/>
    <w:rsid w:val="0057239B"/>
    <w:rsid w:val="00574418"/>
    <w:rsid w:val="005A2982"/>
    <w:rsid w:val="005C67D4"/>
    <w:rsid w:val="005C75BB"/>
    <w:rsid w:val="005E6632"/>
    <w:rsid w:val="005F2097"/>
    <w:rsid w:val="00606EFF"/>
    <w:rsid w:val="00611AB2"/>
    <w:rsid w:val="006230B1"/>
    <w:rsid w:val="006300EA"/>
    <w:rsid w:val="00665D42"/>
    <w:rsid w:val="00673345"/>
    <w:rsid w:val="00683FB4"/>
    <w:rsid w:val="00687C39"/>
    <w:rsid w:val="006B787C"/>
    <w:rsid w:val="006F1DAF"/>
    <w:rsid w:val="00700FD9"/>
    <w:rsid w:val="0070656C"/>
    <w:rsid w:val="00730394"/>
    <w:rsid w:val="00754C2F"/>
    <w:rsid w:val="00762F51"/>
    <w:rsid w:val="0076623D"/>
    <w:rsid w:val="007C20A8"/>
    <w:rsid w:val="00805D78"/>
    <w:rsid w:val="00831252"/>
    <w:rsid w:val="00850FF8"/>
    <w:rsid w:val="00852502"/>
    <w:rsid w:val="00854FC3"/>
    <w:rsid w:val="00871B1A"/>
    <w:rsid w:val="008A487E"/>
    <w:rsid w:val="008A499A"/>
    <w:rsid w:val="008B67B8"/>
    <w:rsid w:val="008E7C9E"/>
    <w:rsid w:val="00902CE2"/>
    <w:rsid w:val="00915899"/>
    <w:rsid w:val="0092148B"/>
    <w:rsid w:val="00922D33"/>
    <w:rsid w:val="00930B37"/>
    <w:rsid w:val="0094076E"/>
    <w:rsid w:val="009758AC"/>
    <w:rsid w:val="0099462E"/>
    <w:rsid w:val="009954E8"/>
    <w:rsid w:val="009A56A1"/>
    <w:rsid w:val="009B77A0"/>
    <w:rsid w:val="009C033F"/>
    <w:rsid w:val="009D5796"/>
    <w:rsid w:val="009E509D"/>
    <w:rsid w:val="00A0180D"/>
    <w:rsid w:val="00A33D0E"/>
    <w:rsid w:val="00A35342"/>
    <w:rsid w:val="00A356DD"/>
    <w:rsid w:val="00A55391"/>
    <w:rsid w:val="00A639A2"/>
    <w:rsid w:val="00A7002F"/>
    <w:rsid w:val="00A85B3D"/>
    <w:rsid w:val="00A93B70"/>
    <w:rsid w:val="00A971FA"/>
    <w:rsid w:val="00AB0901"/>
    <w:rsid w:val="00AB1A2A"/>
    <w:rsid w:val="00AE7304"/>
    <w:rsid w:val="00B17EAA"/>
    <w:rsid w:val="00B40951"/>
    <w:rsid w:val="00B7054B"/>
    <w:rsid w:val="00B7253A"/>
    <w:rsid w:val="00B76B22"/>
    <w:rsid w:val="00B87D2C"/>
    <w:rsid w:val="00BA1A69"/>
    <w:rsid w:val="00BB0191"/>
    <w:rsid w:val="00BB59B6"/>
    <w:rsid w:val="00BC3E49"/>
    <w:rsid w:val="00BD5BB8"/>
    <w:rsid w:val="00BF59A8"/>
    <w:rsid w:val="00C052F5"/>
    <w:rsid w:val="00C07F3F"/>
    <w:rsid w:val="00C12173"/>
    <w:rsid w:val="00C165F6"/>
    <w:rsid w:val="00C17FC4"/>
    <w:rsid w:val="00C22A43"/>
    <w:rsid w:val="00C23D07"/>
    <w:rsid w:val="00C362DE"/>
    <w:rsid w:val="00C52538"/>
    <w:rsid w:val="00C700AC"/>
    <w:rsid w:val="00C91DF9"/>
    <w:rsid w:val="00CA4E55"/>
    <w:rsid w:val="00CC3107"/>
    <w:rsid w:val="00CC634A"/>
    <w:rsid w:val="00CD1353"/>
    <w:rsid w:val="00CE3A51"/>
    <w:rsid w:val="00D069F8"/>
    <w:rsid w:val="00D17EEB"/>
    <w:rsid w:val="00D21898"/>
    <w:rsid w:val="00D41EAA"/>
    <w:rsid w:val="00D533D3"/>
    <w:rsid w:val="00D54A82"/>
    <w:rsid w:val="00D824DE"/>
    <w:rsid w:val="00DC12A3"/>
    <w:rsid w:val="00DC5709"/>
    <w:rsid w:val="00E128DD"/>
    <w:rsid w:val="00E1364C"/>
    <w:rsid w:val="00E213CA"/>
    <w:rsid w:val="00E339E5"/>
    <w:rsid w:val="00E45972"/>
    <w:rsid w:val="00E45F18"/>
    <w:rsid w:val="00E46872"/>
    <w:rsid w:val="00E60474"/>
    <w:rsid w:val="00E6650C"/>
    <w:rsid w:val="00E7186B"/>
    <w:rsid w:val="00E803F8"/>
    <w:rsid w:val="00E82FA0"/>
    <w:rsid w:val="00E8551F"/>
    <w:rsid w:val="00EC518D"/>
    <w:rsid w:val="00EC6360"/>
    <w:rsid w:val="00EF1DFD"/>
    <w:rsid w:val="00F5555A"/>
    <w:rsid w:val="00F67DF3"/>
    <w:rsid w:val="00FA349F"/>
    <w:rsid w:val="00FB4291"/>
    <w:rsid w:val="00FB4A45"/>
    <w:rsid w:val="00FD136F"/>
    <w:rsid w:val="00FF3B3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1"/>
    <w:qFormat/>
    <w:rsid w:val="005F2097"/>
    <w:pPr>
      <w:keepNext/>
      <w:autoSpaceDE w:val="0"/>
      <w:autoSpaceDN w:val="0"/>
      <w:spacing w:before="120" w:after="0" w:line="240" w:lineRule="auto"/>
      <w:outlineLvl w:val="0"/>
    </w:pPr>
    <w:rPr>
      <w:rFonts w:ascii="Times New Roman" w:eastAsia="Times New Roman" w:hAnsi="Times New Roman" w:cs="Times New Roman"/>
      <w:sz w:val="20"/>
      <w:szCs w:val="24"/>
    </w:rPr>
  </w:style>
  <w:style w:type="paragraph" w:styleId="Heading2">
    <w:name w:val="heading 2"/>
    <w:basedOn w:val="Normal"/>
    <w:link w:val="Heading2Char"/>
    <w:uiPriority w:val="1"/>
    <w:qFormat/>
    <w:rsid w:val="005F2097"/>
    <w:pPr>
      <w:widowControl w:val="0"/>
      <w:autoSpaceDE w:val="0"/>
      <w:autoSpaceDN w:val="0"/>
      <w:spacing w:after="0" w:line="240" w:lineRule="auto"/>
      <w:ind w:left="1072"/>
      <w:outlineLvl w:val="1"/>
    </w:pPr>
    <w:rPr>
      <w:rFonts w:ascii="Times New Roman" w:eastAsia="Times New Roman" w:hAnsi="Times New Roman" w:cs="Times New Roman"/>
      <w:b/>
      <w:bCs/>
      <w:sz w:val="28"/>
      <w:szCs w:val="28"/>
      <w:lang w:val="en-US"/>
    </w:rPr>
  </w:style>
  <w:style w:type="paragraph" w:styleId="Heading3">
    <w:name w:val="heading 3"/>
    <w:basedOn w:val="Normal"/>
    <w:next w:val="Normal"/>
    <w:link w:val="Heading3Char"/>
    <w:uiPriority w:val="1"/>
    <w:unhideWhenUsed/>
    <w:qFormat/>
    <w:rsid w:val="005F209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1"/>
    <w:unhideWhenUsed/>
    <w:qFormat/>
    <w:rsid w:val="005F2097"/>
    <w:pPr>
      <w:keepNext/>
      <w:keepLines/>
      <w:spacing w:before="200" w:after="0" w:line="240" w:lineRule="auto"/>
      <w:jc w:val="center"/>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209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F2097"/>
  </w:style>
  <w:style w:type="paragraph" w:styleId="Footer">
    <w:name w:val="footer"/>
    <w:basedOn w:val="Normal"/>
    <w:link w:val="FooterChar"/>
    <w:uiPriority w:val="99"/>
    <w:unhideWhenUsed/>
    <w:rsid w:val="005F209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F2097"/>
  </w:style>
  <w:style w:type="paragraph" w:styleId="BalloonText">
    <w:name w:val="Balloon Text"/>
    <w:basedOn w:val="Normal"/>
    <w:link w:val="BalloonTextChar"/>
    <w:uiPriority w:val="99"/>
    <w:semiHidden/>
    <w:unhideWhenUsed/>
    <w:rsid w:val="005F20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2097"/>
    <w:rPr>
      <w:rFonts w:ascii="Tahoma" w:hAnsi="Tahoma" w:cs="Tahoma"/>
      <w:sz w:val="16"/>
      <w:szCs w:val="16"/>
    </w:rPr>
  </w:style>
  <w:style w:type="character" w:customStyle="1" w:styleId="Heading1Char">
    <w:name w:val="Heading 1 Char"/>
    <w:basedOn w:val="DefaultParagraphFont"/>
    <w:link w:val="Heading1"/>
    <w:uiPriority w:val="9"/>
    <w:rsid w:val="005F2097"/>
    <w:rPr>
      <w:rFonts w:ascii="Times New Roman" w:eastAsia="Times New Roman" w:hAnsi="Times New Roman" w:cs="Times New Roman"/>
      <w:sz w:val="20"/>
      <w:szCs w:val="24"/>
    </w:rPr>
  </w:style>
  <w:style w:type="character" w:customStyle="1" w:styleId="Heading2Char">
    <w:name w:val="Heading 2 Char"/>
    <w:basedOn w:val="DefaultParagraphFont"/>
    <w:link w:val="Heading2"/>
    <w:uiPriority w:val="9"/>
    <w:rsid w:val="005F2097"/>
    <w:rPr>
      <w:rFonts w:ascii="Times New Roman" w:eastAsia="Times New Roman" w:hAnsi="Times New Roman" w:cs="Times New Roman"/>
      <w:b/>
      <w:bCs/>
      <w:sz w:val="28"/>
      <w:szCs w:val="28"/>
      <w:lang w:val="en-US"/>
    </w:rPr>
  </w:style>
  <w:style w:type="character" w:customStyle="1" w:styleId="Heading3Char">
    <w:name w:val="Heading 3 Char"/>
    <w:basedOn w:val="DefaultParagraphFont"/>
    <w:link w:val="Heading3"/>
    <w:uiPriority w:val="9"/>
    <w:rsid w:val="005F209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F2097"/>
    <w:rPr>
      <w:rFonts w:asciiTheme="majorHAnsi" w:eastAsiaTheme="majorEastAsia" w:hAnsiTheme="majorHAnsi" w:cstheme="majorBidi"/>
      <w:b/>
      <w:bCs/>
      <w:i/>
      <w:iCs/>
      <w:color w:val="4F81BD" w:themeColor="accent1"/>
    </w:rPr>
  </w:style>
  <w:style w:type="numbering" w:customStyle="1" w:styleId="NoList1">
    <w:name w:val="No List1"/>
    <w:next w:val="NoList"/>
    <w:uiPriority w:val="99"/>
    <w:semiHidden/>
    <w:unhideWhenUsed/>
    <w:rsid w:val="005F2097"/>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ußnotentext arial,f"/>
    <w:basedOn w:val="Normal"/>
    <w:link w:val="FootnoteTextChar"/>
    <w:uiPriority w:val="99"/>
    <w:qFormat/>
    <w:rsid w:val="005F2097"/>
    <w:pPr>
      <w:spacing w:after="0" w:line="240" w:lineRule="auto"/>
      <w:jc w:val="center"/>
    </w:pPr>
    <w:rPr>
      <w:rFonts w:ascii="Times New Roman" w:eastAsia="MS Mincho" w:hAnsi="Times New Roman" w:cs="Times New Roman"/>
      <w:sz w:val="20"/>
      <w:szCs w:val="20"/>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basedOn w:val="DefaultParagraphFont"/>
    <w:link w:val="FootnoteText"/>
    <w:uiPriority w:val="99"/>
    <w:rsid w:val="005F2097"/>
    <w:rPr>
      <w:rFonts w:ascii="Times New Roman" w:eastAsia="MS Mincho" w:hAnsi="Times New Roman" w:cs="Times New Roman"/>
      <w:sz w:val="20"/>
      <w:szCs w:val="20"/>
    </w:rPr>
  </w:style>
  <w:style w:type="paragraph" w:styleId="ListParagraph">
    <w:name w:val="List Paragraph"/>
    <w:aliases w:val="List Paragraph1,List1,List Paragraph11"/>
    <w:basedOn w:val="Normal"/>
    <w:link w:val="ListParagraphChar"/>
    <w:uiPriority w:val="34"/>
    <w:qFormat/>
    <w:rsid w:val="005F2097"/>
    <w:pPr>
      <w:spacing w:after="0" w:line="240" w:lineRule="auto"/>
      <w:ind w:left="720"/>
      <w:contextualSpacing/>
      <w:jc w:val="center"/>
    </w:pPr>
    <w:rPr>
      <w:rFonts w:ascii="Times New Roman" w:eastAsia="Times New Roman" w:hAnsi="Times New Roman" w:cs="Times New Roman"/>
      <w:sz w:val="24"/>
      <w:szCs w:val="24"/>
      <w:lang w:eastAsia="bg-BG"/>
    </w:rPr>
  </w:style>
  <w:style w:type="character" w:customStyle="1" w:styleId="ListParagraphChar">
    <w:name w:val="List Paragraph Char"/>
    <w:aliases w:val="List Paragraph1 Char,List1 Char,List Paragraph11 Char"/>
    <w:link w:val="ListParagraph"/>
    <w:locked/>
    <w:rsid w:val="005F2097"/>
    <w:rPr>
      <w:rFonts w:ascii="Times New Roman" w:eastAsia="Times New Roman" w:hAnsi="Times New Roman" w:cs="Times New Roman"/>
      <w:sz w:val="24"/>
      <w:szCs w:val="24"/>
      <w:lang w:eastAsia="bg-BG"/>
    </w:rPr>
  </w:style>
  <w:style w:type="character" w:styleId="Hyperlink">
    <w:name w:val="Hyperlink"/>
    <w:rsid w:val="005F2097"/>
    <w:rPr>
      <w:color w:val="0000FF"/>
      <w:u w:val="single"/>
    </w:rPr>
  </w:style>
  <w:style w:type="character" w:styleId="FootnoteReference">
    <w:name w:val="footnote reference"/>
    <w:aliases w:val="Footnote symbol,Estilo de nota al pie de Africa,ftref,16 Point,Superscript 6 Point,Footnote Reference Number,Footnote Reference_LVL6,Footnote Reference_LVL61,Footnote Reference_LVL62,Footnote Reference_LVL63,Footnote Reference_LVL64"/>
    <w:uiPriority w:val="99"/>
    <w:rsid w:val="005F2097"/>
    <w:rPr>
      <w:vertAlign w:val="superscript"/>
    </w:rPr>
  </w:style>
  <w:style w:type="paragraph" w:styleId="BodyText">
    <w:name w:val="Body Text"/>
    <w:basedOn w:val="Normal"/>
    <w:link w:val="BodyTextChar"/>
    <w:uiPriority w:val="1"/>
    <w:qFormat/>
    <w:rsid w:val="005F2097"/>
    <w:pPr>
      <w:autoSpaceDE w:val="0"/>
      <w:autoSpaceDN w:val="0"/>
      <w:spacing w:before="120" w:after="0" w:line="240" w:lineRule="auto"/>
      <w:jc w:val="both"/>
    </w:pPr>
    <w:rPr>
      <w:rFonts w:ascii="Times New Roman CYR" w:eastAsia="Times New Roman" w:hAnsi="Times New Roman CYR" w:cs="Times New Roman"/>
    </w:rPr>
  </w:style>
  <w:style w:type="character" w:customStyle="1" w:styleId="BodyTextChar">
    <w:name w:val="Body Text Char"/>
    <w:basedOn w:val="DefaultParagraphFont"/>
    <w:link w:val="BodyText"/>
    <w:uiPriority w:val="1"/>
    <w:rsid w:val="005F2097"/>
    <w:rPr>
      <w:rFonts w:ascii="Times New Roman CYR" w:eastAsia="Times New Roman" w:hAnsi="Times New Roman CYR" w:cs="Times New Roman"/>
    </w:rPr>
  </w:style>
  <w:style w:type="paragraph" w:styleId="PlainText">
    <w:name w:val="Plain Text"/>
    <w:basedOn w:val="Normal"/>
    <w:link w:val="PlainTextChar"/>
    <w:rsid w:val="005F2097"/>
    <w:pPr>
      <w:spacing w:after="0" w:line="240" w:lineRule="auto"/>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5F2097"/>
    <w:rPr>
      <w:rFonts w:ascii="Courier New" w:eastAsia="Times New Roman" w:hAnsi="Courier New" w:cs="Courier New"/>
      <w:sz w:val="20"/>
      <w:szCs w:val="20"/>
      <w:lang w:val="en-US"/>
    </w:rPr>
  </w:style>
  <w:style w:type="paragraph" w:styleId="NormalWeb">
    <w:name w:val="Normal (Web)"/>
    <w:basedOn w:val="Normal"/>
    <w:uiPriority w:val="99"/>
    <w:unhideWhenUsed/>
    <w:rsid w:val="005F209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mw-headline">
    <w:name w:val="mw-headline"/>
    <w:basedOn w:val="DefaultParagraphFont"/>
    <w:rsid w:val="005F2097"/>
  </w:style>
  <w:style w:type="character" w:customStyle="1" w:styleId="mw-editsection1">
    <w:name w:val="mw-editsection1"/>
    <w:basedOn w:val="DefaultParagraphFont"/>
    <w:rsid w:val="005F2097"/>
  </w:style>
  <w:style w:type="character" w:customStyle="1" w:styleId="mw-editsection-bracket">
    <w:name w:val="mw-editsection-bracket"/>
    <w:basedOn w:val="DefaultParagraphFont"/>
    <w:rsid w:val="005F2097"/>
  </w:style>
  <w:style w:type="character" w:customStyle="1" w:styleId="mw-editsection-divider1">
    <w:name w:val="mw-editsection-divider1"/>
    <w:basedOn w:val="DefaultParagraphFont"/>
    <w:rsid w:val="005F2097"/>
    <w:rPr>
      <w:color w:val="555555"/>
    </w:rPr>
  </w:style>
  <w:style w:type="table" w:styleId="TableGrid">
    <w:name w:val="Table Grid"/>
    <w:basedOn w:val="TableNormal"/>
    <w:uiPriority w:val="59"/>
    <w:rsid w:val="005F20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Списък на абзаци"/>
    <w:basedOn w:val="Normal"/>
    <w:qFormat/>
    <w:rsid w:val="005F2097"/>
    <w:pPr>
      <w:spacing w:after="0" w:line="240" w:lineRule="auto"/>
      <w:ind w:left="720"/>
      <w:contextualSpacing/>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5F2097"/>
    <w:rPr>
      <w:b/>
      <w:bCs/>
    </w:rPr>
  </w:style>
  <w:style w:type="paragraph" w:styleId="BodyText2">
    <w:name w:val="Body Text 2"/>
    <w:basedOn w:val="Normal"/>
    <w:link w:val="BodyText2Char"/>
    <w:uiPriority w:val="99"/>
    <w:semiHidden/>
    <w:unhideWhenUsed/>
    <w:rsid w:val="005F2097"/>
    <w:pPr>
      <w:spacing w:after="120" w:line="480" w:lineRule="auto"/>
    </w:pPr>
  </w:style>
  <w:style w:type="character" w:customStyle="1" w:styleId="BodyText2Char">
    <w:name w:val="Body Text 2 Char"/>
    <w:basedOn w:val="DefaultParagraphFont"/>
    <w:link w:val="BodyText2"/>
    <w:uiPriority w:val="99"/>
    <w:semiHidden/>
    <w:rsid w:val="005F2097"/>
  </w:style>
  <w:style w:type="character" w:customStyle="1" w:styleId="textexposedshow">
    <w:name w:val="text_exposed_show"/>
    <w:basedOn w:val="DefaultParagraphFont"/>
    <w:rsid w:val="005F2097"/>
  </w:style>
  <w:style w:type="paragraph" w:styleId="BodyTextIndent2">
    <w:name w:val="Body Text Indent 2"/>
    <w:basedOn w:val="Normal"/>
    <w:link w:val="BodyTextIndent2Char"/>
    <w:uiPriority w:val="99"/>
    <w:semiHidden/>
    <w:unhideWhenUsed/>
    <w:rsid w:val="005F2097"/>
    <w:pPr>
      <w:spacing w:after="120" w:line="480" w:lineRule="auto"/>
      <w:ind w:left="283"/>
      <w:jc w:val="center"/>
    </w:pPr>
  </w:style>
  <w:style w:type="character" w:customStyle="1" w:styleId="BodyTextIndent2Char">
    <w:name w:val="Body Text Indent 2 Char"/>
    <w:basedOn w:val="DefaultParagraphFont"/>
    <w:link w:val="BodyTextIndent2"/>
    <w:uiPriority w:val="99"/>
    <w:semiHidden/>
    <w:rsid w:val="005F2097"/>
  </w:style>
  <w:style w:type="paragraph" w:customStyle="1" w:styleId="Style3">
    <w:name w:val="Style3"/>
    <w:basedOn w:val="Normal"/>
    <w:uiPriority w:val="99"/>
    <w:rsid w:val="005F2097"/>
    <w:pPr>
      <w:pBdr>
        <w:bottom w:val="thinThickSmallGap" w:sz="24" w:space="1" w:color="000000"/>
      </w:pBdr>
      <w:suppressAutoHyphens/>
      <w:spacing w:before="120" w:after="120" w:line="240" w:lineRule="auto"/>
      <w:ind w:firstLine="709"/>
      <w:jc w:val="both"/>
    </w:pPr>
    <w:rPr>
      <w:rFonts w:ascii="Times New Roman" w:eastAsia="Times New Roman" w:hAnsi="Times New Roman" w:cs="Times New Roman"/>
      <w:sz w:val="24"/>
      <w:szCs w:val="24"/>
      <w:lang w:eastAsia="zh-CN"/>
    </w:rPr>
  </w:style>
  <w:style w:type="paragraph" w:customStyle="1" w:styleId="TableParagraph">
    <w:name w:val="Table Paragraph"/>
    <w:basedOn w:val="Normal"/>
    <w:uiPriority w:val="1"/>
    <w:qFormat/>
    <w:rsid w:val="005F2097"/>
    <w:pPr>
      <w:widowControl w:val="0"/>
      <w:autoSpaceDE w:val="0"/>
      <w:autoSpaceDN w:val="0"/>
      <w:spacing w:after="0" w:line="240" w:lineRule="auto"/>
      <w:jc w:val="right"/>
    </w:pPr>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5F2097"/>
    <w:rPr>
      <w:sz w:val="16"/>
      <w:szCs w:val="16"/>
    </w:rPr>
  </w:style>
  <w:style w:type="paragraph" w:styleId="BodyText3">
    <w:name w:val="Body Text 3"/>
    <w:basedOn w:val="Normal"/>
    <w:link w:val="BodyText3Char"/>
    <w:uiPriority w:val="99"/>
    <w:semiHidden/>
    <w:unhideWhenUsed/>
    <w:rsid w:val="005F2097"/>
    <w:pPr>
      <w:widowControl w:val="0"/>
      <w:autoSpaceDE w:val="0"/>
      <w:autoSpaceDN w:val="0"/>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uiPriority w:val="99"/>
    <w:semiHidden/>
    <w:rsid w:val="005F2097"/>
    <w:rPr>
      <w:rFonts w:ascii="Times New Roman" w:eastAsia="Times New Roman" w:hAnsi="Times New Roman" w:cs="Times New Roman"/>
      <w:sz w:val="16"/>
      <w:szCs w:val="16"/>
      <w:lang w:val="en-US"/>
    </w:rPr>
  </w:style>
  <w:style w:type="paragraph" w:styleId="CommentText">
    <w:name w:val="annotation text"/>
    <w:basedOn w:val="Normal"/>
    <w:link w:val="CommentTextChar"/>
    <w:uiPriority w:val="99"/>
    <w:semiHidden/>
    <w:unhideWhenUsed/>
    <w:rsid w:val="005F2097"/>
    <w:pPr>
      <w:widowControl w:val="0"/>
      <w:autoSpaceDE w:val="0"/>
      <w:autoSpaceDN w:val="0"/>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semiHidden/>
    <w:rsid w:val="005F2097"/>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5F2097"/>
    <w:rPr>
      <w:b/>
      <w:bCs/>
    </w:rPr>
  </w:style>
  <w:style w:type="character" w:customStyle="1" w:styleId="CommentSubjectChar">
    <w:name w:val="Comment Subject Char"/>
    <w:basedOn w:val="CommentTextChar"/>
    <w:link w:val="CommentSubject"/>
    <w:uiPriority w:val="99"/>
    <w:semiHidden/>
    <w:rsid w:val="005F2097"/>
    <w:rPr>
      <w:rFonts w:ascii="Times New Roman" w:eastAsia="Times New Roman" w:hAnsi="Times New Roman" w:cs="Times New Roman"/>
      <w:b/>
      <w:bCs/>
      <w:sz w:val="20"/>
      <w:szCs w:val="20"/>
      <w:lang w:val="en-US"/>
    </w:rPr>
  </w:style>
  <w:style w:type="paragraph" w:styleId="Title">
    <w:name w:val="Title"/>
    <w:basedOn w:val="Normal"/>
    <w:link w:val="TitleChar"/>
    <w:qFormat/>
    <w:rsid w:val="005F2097"/>
    <w:pPr>
      <w:spacing w:after="0" w:line="240" w:lineRule="auto"/>
      <w:jc w:val="center"/>
    </w:pPr>
    <w:rPr>
      <w:rFonts w:ascii="Times New Roman" w:eastAsia="Times New Roman" w:hAnsi="Times New Roman" w:cs="Times New Roman"/>
      <w:sz w:val="28"/>
      <w:szCs w:val="20"/>
    </w:rPr>
  </w:style>
  <w:style w:type="character" w:customStyle="1" w:styleId="TitleChar">
    <w:name w:val="Title Char"/>
    <w:basedOn w:val="DefaultParagraphFont"/>
    <w:link w:val="Title"/>
    <w:rsid w:val="005F2097"/>
    <w:rPr>
      <w:rFonts w:ascii="Times New Roman" w:eastAsia="Times New Roman" w:hAnsi="Times New Roman" w:cs="Times New Roman"/>
      <w:sz w:val="28"/>
      <w:szCs w:val="20"/>
    </w:rPr>
  </w:style>
  <w:style w:type="paragraph" w:customStyle="1" w:styleId="Default">
    <w:name w:val="Default"/>
    <w:rsid w:val="005F2097"/>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character" w:customStyle="1" w:styleId="2">
    <w:name w:val="Основен текст (2)_"/>
    <w:link w:val="20"/>
    <w:locked/>
    <w:rsid w:val="005F2097"/>
    <w:rPr>
      <w:shd w:val="clear" w:color="auto" w:fill="FFFFFF"/>
    </w:rPr>
  </w:style>
  <w:style w:type="paragraph" w:customStyle="1" w:styleId="20">
    <w:name w:val="Основен текст (2)"/>
    <w:basedOn w:val="Normal"/>
    <w:link w:val="2"/>
    <w:rsid w:val="005F2097"/>
    <w:pPr>
      <w:widowControl w:val="0"/>
      <w:shd w:val="clear" w:color="auto" w:fill="FFFFFF"/>
      <w:spacing w:before="120" w:after="0" w:line="274" w:lineRule="exact"/>
      <w:ind w:hanging="400"/>
      <w:jc w:val="both"/>
    </w:pPr>
  </w:style>
  <w:style w:type="paragraph" w:styleId="NoSpacing">
    <w:name w:val="No Spacing"/>
    <w:uiPriority w:val="1"/>
    <w:qFormat/>
    <w:rsid w:val="005F2097"/>
    <w:pPr>
      <w:spacing w:after="0" w:line="240" w:lineRule="auto"/>
    </w:pPr>
    <w:rPr>
      <w:rFonts w:ascii="Calibri" w:eastAsia="Calibri" w:hAnsi="Calibri" w:cs="Times New Roman"/>
    </w:rPr>
  </w:style>
  <w:style w:type="character" w:customStyle="1" w:styleId="k-link28">
    <w:name w:val="k-link28"/>
    <w:basedOn w:val="DefaultParagraphFont"/>
    <w:rsid w:val="005F2097"/>
    <w:rPr>
      <w:strike w:val="0"/>
      <w:dstrike w:val="0"/>
      <w:u w:val="none"/>
      <w:effect w:val="none"/>
    </w:rPr>
  </w:style>
  <w:style w:type="character" w:styleId="Emphasis">
    <w:name w:val="Emphasis"/>
    <w:basedOn w:val="DefaultParagraphFont"/>
    <w:uiPriority w:val="20"/>
    <w:qFormat/>
    <w:rsid w:val="005F2097"/>
    <w:rPr>
      <w:i/>
      <w:iCs/>
    </w:rPr>
  </w:style>
  <w:style w:type="character" w:customStyle="1" w:styleId="english-link2">
    <w:name w:val="english-link2"/>
    <w:basedOn w:val="DefaultParagraphFont"/>
    <w:rsid w:val="005F2097"/>
  </w:style>
  <w:style w:type="paragraph" w:customStyle="1" w:styleId="Pa0">
    <w:name w:val="Pa0"/>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character" w:customStyle="1" w:styleId="A2">
    <w:name w:val="A2"/>
    <w:uiPriority w:val="99"/>
    <w:rsid w:val="005F2097"/>
    <w:rPr>
      <w:rFonts w:cs="EC Square Sans Pro"/>
      <w:b/>
      <w:bCs/>
      <w:color w:val="000000"/>
      <w:sz w:val="48"/>
      <w:szCs w:val="48"/>
    </w:rPr>
  </w:style>
  <w:style w:type="character" w:customStyle="1" w:styleId="A5">
    <w:name w:val="A5"/>
    <w:uiPriority w:val="99"/>
    <w:rsid w:val="005F2097"/>
    <w:rPr>
      <w:rFonts w:cs="EC Square Sans Pro"/>
      <w:color w:val="000000"/>
      <w:sz w:val="20"/>
      <w:szCs w:val="20"/>
    </w:rPr>
  </w:style>
  <w:style w:type="paragraph" w:customStyle="1" w:styleId="Pa5">
    <w:name w:val="Pa5"/>
    <w:basedOn w:val="Default"/>
    <w:next w:val="Default"/>
    <w:uiPriority w:val="99"/>
    <w:rsid w:val="005F2097"/>
    <w:pPr>
      <w:spacing w:line="281" w:lineRule="atLeast"/>
    </w:pPr>
    <w:rPr>
      <w:rFonts w:ascii="EC Square Sans Pro" w:eastAsiaTheme="minorHAnsi" w:hAnsi="EC Square Sans Pro" w:cstheme="minorBidi"/>
      <w:color w:val="auto"/>
      <w:lang w:eastAsia="en-US"/>
    </w:rPr>
  </w:style>
  <w:style w:type="paragraph" w:customStyle="1" w:styleId="Pa6">
    <w:name w:val="Pa6"/>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13">
    <w:name w:val="Pa13"/>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3">
    <w:name w:val="Pa3"/>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character" w:customStyle="1" w:styleId="A0">
    <w:name w:val="A0"/>
    <w:uiPriority w:val="99"/>
    <w:rsid w:val="005F2097"/>
    <w:rPr>
      <w:rFonts w:ascii="IRUSGN+ECSquareSansCondPro-Bold" w:hAnsi="IRUSGN+ECSquareSansCondPro-Bold" w:cs="IRUSGN+ECSquareSansCondPro-Bold"/>
      <w:color w:val="000000"/>
      <w:sz w:val="16"/>
      <w:szCs w:val="16"/>
    </w:rPr>
  </w:style>
  <w:style w:type="paragraph" w:customStyle="1" w:styleId="Pa1">
    <w:name w:val="Pa1"/>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paragraph" w:customStyle="1" w:styleId="Pa2">
    <w:name w:val="Pa2"/>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16">
    <w:name w:val="Pa16"/>
    <w:basedOn w:val="Default"/>
    <w:next w:val="Default"/>
    <w:uiPriority w:val="99"/>
    <w:rsid w:val="005F2097"/>
    <w:pPr>
      <w:spacing w:line="221" w:lineRule="atLeast"/>
    </w:pPr>
    <w:rPr>
      <w:rFonts w:ascii="Garamond" w:eastAsiaTheme="minorHAnsi" w:hAnsi="Garamond" w:cstheme="minorBidi"/>
      <w:color w:val="auto"/>
      <w:lang w:eastAsia="en-US"/>
    </w:rPr>
  </w:style>
  <w:style w:type="paragraph" w:customStyle="1" w:styleId="Pa14">
    <w:name w:val="Pa14"/>
    <w:basedOn w:val="Default"/>
    <w:next w:val="Default"/>
    <w:uiPriority w:val="99"/>
    <w:rsid w:val="005F2097"/>
    <w:pPr>
      <w:spacing w:line="181" w:lineRule="atLeast"/>
    </w:pPr>
    <w:rPr>
      <w:rFonts w:ascii="EC Square Sans Pro" w:eastAsiaTheme="minorHAnsi" w:hAnsi="EC Square Sans Pro" w:cstheme="minorBidi"/>
      <w:color w:val="auto"/>
      <w:lang w:eastAsia="en-US"/>
    </w:rPr>
  </w:style>
  <w:style w:type="paragraph" w:customStyle="1" w:styleId="Style1">
    <w:name w:val="Style1"/>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2">
    <w:name w:val="Style2"/>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4">
    <w:name w:val="Style4"/>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6">
    <w:name w:val="Style6"/>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7">
    <w:name w:val="Style7"/>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8">
    <w:name w:val="Style8"/>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9">
    <w:name w:val="Style9"/>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1">
    <w:name w:val="Style11"/>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3">
    <w:name w:val="Style13"/>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4">
    <w:name w:val="Style14"/>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character" w:customStyle="1" w:styleId="FontStyle16">
    <w:name w:val="Font Style16"/>
    <w:basedOn w:val="DefaultParagraphFont"/>
    <w:uiPriority w:val="99"/>
    <w:rsid w:val="005F2097"/>
    <w:rPr>
      <w:rFonts w:ascii="Times New Roman" w:hAnsi="Times New Roman" w:cs="Times New Roman"/>
      <w:i/>
      <w:iCs/>
      <w:sz w:val="24"/>
      <w:szCs w:val="24"/>
    </w:rPr>
  </w:style>
  <w:style w:type="character" w:customStyle="1" w:styleId="FontStyle17">
    <w:name w:val="Font Style17"/>
    <w:basedOn w:val="DefaultParagraphFont"/>
    <w:uiPriority w:val="99"/>
    <w:rsid w:val="005F2097"/>
    <w:rPr>
      <w:rFonts w:ascii="Times New Roman" w:hAnsi="Times New Roman" w:cs="Times New Roman"/>
      <w:b/>
      <w:bCs/>
      <w:i/>
      <w:iCs/>
      <w:sz w:val="20"/>
      <w:szCs w:val="20"/>
    </w:rPr>
  </w:style>
  <w:style w:type="character" w:customStyle="1" w:styleId="FontStyle18">
    <w:name w:val="Font Style18"/>
    <w:basedOn w:val="DefaultParagraphFont"/>
    <w:uiPriority w:val="99"/>
    <w:rsid w:val="005F2097"/>
    <w:rPr>
      <w:rFonts w:ascii="Times New Roman" w:hAnsi="Times New Roman" w:cs="Times New Roman"/>
      <w:b/>
      <w:bCs/>
      <w:sz w:val="26"/>
      <w:szCs w:val="26"/>
    </w:rPr>
  </w:style>
  <w:style w:type="character" w:customStyle="1" w:styleId="FontStyle19">
    <w:name w:val="Font Style19"/>
    <w:basedOn w:val="DefaultParagraphFont"/>
    <w:uiPriority w:val="99"/>
    <w:rsid w:val="005F2097"/>
    <w:rPr>
      <w:rFonts w:ascii="Times New Roman" w:hAnsi="Times New Roman" w:cs="Times New Roman"/>
      <w:b/>
      <w:bCs/>
      <w:sz w:val="20"/>
      <w:szCs w:val="20"/>
    </w:rPr>
  </w:style>
  <w:style w:type="character" w:customStyle="1" w:styleId="FontStyle20">
    <w:name w:val="Font Style20"/>
    <w:basedOn w:val="DefaultParagraphFont"/>
    <w:uiPriority w:val="99"/>
    <w:rsid w:val="005F2097"/>
    <w:rPr>
      <w:rFonts w:ascii="Times New Roman" w:hAnsi="Times New Roman" w:cs="Times New Roman"/>
      <w:sz w:val="18"/>
      <w:szCs w:val="18"/>
    </w:rPr>
  </w:style>
  <w:style w:type="character" w:customStyle="1" w:styleId="FontStyle21">
    <w:name w:val="Font Style21"/>
    <w:basedOn w:val="DefaultParagraphFont"/>
    <w:uiPriority w:val="99"/>
    <w:rsid w:val="005F2097"/>
    <w:rPr>
      <w:rFonts w:ascii="Times New Roman" w:hAnsi="Times New Roman" w:cs="Times New Roman"/>
      <w:sz w:val="20"/>
      <w:szCs w:val="20"/>
    </w:rPr>
  </w:style>
  <w:style w:type="character" w:customStyle="1" w:styleId="FontStyle22">
    <w:name w:val="Font Style22"/>
    <w:basedOn w:val="DefaultParagraphFont"/>
    <w:uiPriority w:val="99"/>
    <w:rsid w:val="005F2097"/>
    <w:rPr>
      <w:rFonts w:ascii="Times New Roman" w:hAnsi="Times New Roman" w:cs="Times New Roman"/>
      <w:sz w:val="18"/>
      <w:szCs w:val="18"/>
    </w:rPr>
  </w:style>
  <w:style w:type="paragraph" w:styleId="z-TopofForm">
    <w:name w:val="HTML Top of Form"/>
    <w:basedOn w:val="Normal"/>
    <w:next w:val="Normal"/>
    <w:link w:val="z-TopofFormChar"/>
    <w:hidden/>
    <w:uiPriority w:val="99"/>
    <w:unhideWhenUsed/>
    <w:rsid w:val="005F2097"/>
    <w:pPr>
      <w:pBdr>
        <w:bottom w:val="single" w:sz="6" w:space="1" w:color="auto"/>
      </w:pBdr>
      <w:spacing w:after="0" w:line="240" w:lineRule="auto"/>
      <w:jc w:val="center"/>
    </w:pPr>
    <w:rPr>
      <w:rFonts w:ascii="Arial" w:eastAsia="Times New Roman" w:hAnsi="Arial" w:cs="Arial"/>
      <w:vanish/>
      <w:sz w:val="16"/>
      <w:szCs w:val="16"/>
      <w:lang w:eastAsia="bg-BG"/>
    </w:rPr>
  </w:style>
  <w:style w:type="character" w:customStyle="1" w:styleId="z-TopofFormChar">
    <w:name w:val="z-Top of Form Char"/>
    <w:basedOn w:val="DefaultParagraphFont"/>
    <w:link w:val="z-TopofForm"/>
    <w:uiPriority w:val="99"/>
    <w:rsid w:val="005F2097"/>
    <w:rPr>
      <w:rFonts w:ascii="Arial" w:eastAsia="Times New Roman" w:hAnsi="Arial" w:cs="Arial"/>
      <w:vanish/>
      <w:sz w:val="16"/>
      <w:szCs w:val="16"/>
      <w:lang w:eastAsia="bg-BG"/>
    </w:rPr>
  </w:style>
  <w:style w:type="paragraph" w:styleId="z-BottomofForm">
    <w:name w:val="HTML Bottom of Form"/>
    <w:basedOn w:val="Normal"/>
    <w:next w:val="Normal"/>
    <w:link w:val="z-BottomofFormChar"/>
    <w:hidden/>
    <w:uiPriority w:val="99"/>
    <w:semiHidden/>
    <w:unhideWhenUsed/>
    <w:rsid w:val="005F2097"/>
    <w:pPr>
      <w:pBdr>
        <w:top w:val="single" w:sz="6" w:space="1" w:color="auto"/>
      </w:pBdr>
      <w:spacing w:after="0" w:line="240" w:lineRule="auto"/>
      <w:jc w:val="center"/>
    </w:pPr>
    <w:rPr>
      <w:rFonts w:ascii="Arial" w:eastAsia="Times New Roman" w:hAnsi="Arial" w:cs="Arial"/>
      <w:vanish/>
      <w:sz w:val="16"/>
      <w:szCs w:val="16"/>
      <w:lang w:eastAsia="bg-BG"/>
    </w:rPr>
  </w:style>
  <w:style w:type="character" w:customStyle="1" w:styleId="z-BottomofFormChar">
    <w:name w:val="z-Bottom of Form Char"/>
    <w:basedOn w:val="DefaultParagraphFont"/>
    <w:link w:val="z-BottomofForm"/>
    <w:uiPriority w:val="99"/>
    <w:semiHidden/>
    <w:rsid w:val="005F2097"/>
    <w:rPr>
      <w:rFonts w:ascii="Arial" w:eastAsia="Times New Roman" w:hAnsi="Arial" w:cs="Arial"/>
      <w:vanish/>
      <w:sz w:val="16"/>
      <w:szCs w:val="16"/>
      <w:lang w:eastAsia="bg-BG"/>
    </w:rPr>
  </w:style>
  <w:style w:type="paragraph" w:customStyle="1" w:styleId="submitted1">
    <w:name w:val="submitted1"/>
    <w:basedOn w:val="Normal"/>
    <w:rsid w:val="005F2097"/>
    <w:pPr>
      <w:spacing w:after="0" w:line="240" w:lineRule="auto"/>
    </w:pPr>
    <w:rPr>
      <w:rFonts w:ascii="Times New Roman" w:eastAsia="Times New Roman" w:hAnsi="Times New Roman" w:cs="Times New Roman"/>
      <w:i/>
      <w:iCs/>
      <w:lang w:eastAsia="bg-BG"/>
    </w:rPr>
  </w:style>
  <w:style w:type="paragraph" w:customStyle="1" w:styleId="Pa20">
    <w:name w:val="Pa20"/>
    <w:basedOn w:val="Default"/>
    <w:next w:val="Default"/>
    <w:uiPriority w:val="99"/>
    <w:rsid w:val="005F2097"/>
    <w:pPr>
      <w:spacing w:line="181" w:lineRule="atLeast"/>
    </w:pPr>
    <w:rPr>
      <w:rFonts w:ascii="Garamond" w:eastAsiaTheme="minorHAnsi" w:hAnsi="Garamond" w:cstheme="minorBidi"/>
      <w:color w:val="auto"/>
      <w:lang w:eastAsia="en-US"/>
    </w:rPr>
  </w:style>
  <w:style w:type="paragraph" w:customStyle="1" w:styleId="meta">
    <w:name w:val="meta"/>
    <w:basedOn w:val="Normal"/>
    <w:rsid w:val="005F2097"/>
    <w:pPr>
      <w:spacing w:before="100" w:beforeAutospacing="1" w:after="100" w:afterAutospacing="1" w:line="240" w:lineRule="auto"/>
    </w:pPr>
    <w:rPr>
      <w:rFonts w:ascii="Tahoma" w:eastAsia="Times New Roman" w:hAnsi="Tahoma" w:cs="Tahoma"/>
      <w:color w:val="999999"/>
      <w:sz w:val="23"/>
      <w:szCs w:val="23"/>
      <w:lang w:eastAsia="bg-BG"/>
    </w:rPr>
  </w:style>
  <w:style w:type="character" w:styleId="FollowedHyperlink">
    <w:name w:val="FollowedHyperlink"/>
    <w:basedOn w:val="DefaultParagraphFont"/>
    <w:uiPriority w:val="99"/>
    <w:semiHidden/>
    <w:unhideWhenUsed/>
    <w:rsid w:val="005F2097"/>
    <w:rPr>
      <w:color w:val="800080" w:themeColor="followedHyperlink"/>
      <w:u w:val="single"/>
    </w:rPr>
  </w:style>
  <w:style w:type="paragraph" w:styleId="EndnoteText">
    <w:name w:val="endnote text"/>
    <w:basedOn w:val="Normal"/>
    <w:link w:val="EndnoteTextChar"/>
    <w:uiPriority w:val="99"/>
    <w:semiHidden/>
    <w:unhideWhenUsed/>
    <w:rsid w:val="002000F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000F0"/>
    <w:rPr>
      <w:sz w:val="20"/>
      <w:szCs w:val="20"/>
    </w:rPr>
  </w:style>
  <w:style w:type="character" w:styleId="EndnoteReference">
    <w:name w:val="endnote reference"/>
    <w:basedOn w:val="DefaultParagraphFont"/>
    <w:uiPriority w:val="99"/>
    <w:semiHidden/>
    <w:unhideWhenUsed/>
    <w:rsid w:val="002000F0"/>
    <w:rPr>
      <w:vertAlign w:val="superscript"/>
    </w:rPr>
  </w:style>
  <w:style w:type="table" w:customStyle="1" w:styleId="TableGrid1">
    <w:name w:val="Table Grid1"/>
    <w:basedOn w:val="TableNormal"/>
    <w:next w:val="TableGrid"/>
    <w:uiPriority w:val="39"/>
    <w:rsid w:val="00220B52"/>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4C6069"/>
  </w:style>
  <w:style w:type="numbering" w:customStyle="1" w:styleId="NoList2">
    <w:name w:val="No List2"/>
    <w:next w:val="NoList"/>
    <w:uiPriority w:val="99"/>
    <w:semiHidden/>
    <w:unhideWhenUsed/>
    <w:rsid w:val="001777F1"/>
  </w:style>
  <w:style w:type="table" w:customStyle="1" w:styleId="TableGrid2">
    <w:name w:val="Table Grid2"/>
    <w:basedOn w:val="TableNormal"/>
    <w:next w:val="TableGrid"/>
    <w:uiPriority w:val="59"/>
    <w:rsid w:val="00561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1"/>
    <w:qFormat/>
    <w:rsid w:val="005F2097"/>
    <w:pPr>
      <w:keepNext/>
      <w:autoSpaceDE w:val="0"/>
      <w:autoSpaceDN w:val="0"/>
      <w:spacing w:before="120" w:after="0" w:line="240" w:lineRule="auto"/>
      <w:outlineLvl w:val="0"/>
    </w:pPr>
    <w:rPr>
      <w:rFonts w:ascii="Times New Roman" w:eastAsia="Times New Roman" w:hAnsi="Times New Roman" w:cs="Times New Roman"/>
      <w:sz w:val="20"/>
      <w:szCs w:val="24"/>
    </w:rPr>
  </w:style>
  <w:style w:type="paragraph" w:styleId="Heading2">
    <w:name w:val="heading 2"/>
    <w:basedOn w:val="Normal"/>
    <w:link w:val="Heading2Char"/>
    <w:uiPriority w:val="1"/>
    <w:qFormat/>
    <w:rsid w:val="005F2097"/>
    <w:pPr>
      <w:widowControl w:val="0"/>
      <w:autoSpaceDE w:val="0"/>
      <w:autoSpaceDN w:val="0"/>
      <w:spacing w:after="0" w:line="240" w:lineRule="auto"/>
      <w:ind w:left="1072"/>
      <w:outlineLvl w:val="1"/>
    </w:pPr>
    <w:rPr>
      <w:rFonts w:ascii="Times New Roman" w:eastAsia="Times New Roman" w:hAnsi="Times New Roman" w:cs="Times New Roman"/>
      <w:b/>
      <w:bCs/>
      <w:sz w:val="28"/>
      <w:szCs w:val="28"/>
      <w:lang w:val="en-US"/>
    </w:rPr>
  </w:style>
  <w:style w:type="paragraph" w:styleId="Heading3">
    <w:name w:val="heading 3"/>
    <w:basedOn w:val="Normal"/>
    <w:next w:val="Normal"/>
    <w:link w:val="Heading3Char"/>
    <w:uiPriority w:val="1"/>
    <w:unhideWhenUsed/>
    <w:qFormat/>
    <w:rsid w:val="005F209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1"/>
    <w:unhideWhenUsed/>
    <w:qFormat/>
    <w:rsid w:val="005F2097"/>
    <w:pPr>
      <w:keepNext/>
      <w:keepLines/>
      <w:spacing w:before="200" w:after="0" w:line="240" w:lineRule="auto"/>
      <w:jc w:val="center"/>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209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F2097"/>
  </w:style>
  <w:style w:type="paragraph" w:styleId="Footer">
    <w:name w:val="footer"/>
    <w:basedOn w:val="Normal"/>
    <w:link w:val="FooterChar"/>
    <w:uiPriority w:val="99"/>
    <w:unhideWhenUsed/>
    <w:rsid w:val="005F209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F2097"/>
  </w:style>
  <w:style w:type="paragraph" w:styleId="BalloonText">
    <w:name w:val="Balloon Text"/>
    <w:basedOn w:val="Normal"/>
    <w:link w:val="BalloonTextChar"/>
    <w:uiPriority w:val="99"/>
    <w:semiHidden/>
    <w:unhideWhenUsed/>
    <w:rsid w:val="005F20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2097"/>
    <w:rPr>
      <w:rFonts w:ascii="Tahoma" w:hAnsi="Tahoma" w:cs="Tahoma"/>
      <w:sz w:val="16"/>
      <w:szCs w:val="16"/>
    </w:rPr>
  </w:style>
  <w:style w:type="character" w:customStyle="1" w:styleId="Heading1Char">
    <w:name w:val="Heading 1 Char"/>
    <w:basedOn w:val="DefaultParagraphFont"/>
    <w:link w:val="Heading1"/>
    <w:uiPriority w:val="9"/>
    <w:rsid w:val="005F2097"/>
    <w:rPr>
      <w:rFonts w:ascii="Times New Roman" w:eastAsia="Times New Roman" w:hAnsi="Times New Roman" w:cs="Times New Roman"/>
      <w:sz w:val="20"/>
      <w:szCs w:val="24"/>
    </w:rPr>
  </w:style>
  <w:style w:type="character" w:customStyle="1" w:styleId="Heading2Char">
    <w:name w:val="Heading 2 Char"/>
    <w:basedOn w:val="DefaultParagraphFont"/>
    <w:link w:val="Heading2"/>
    <w:uiPriority w:val="9"/>
    <w:rsid w:val="005F2097"/>
    <w:rPr>
      <w:rFonts w:ascii="Times New Roman" w:eastAsia="Times New Roman" w:hAnsi="Times New Roman" w:cs="Times New Roman"/>
      <w:b/>
      <w:bCs/>
      <w:sz w:val="28"/>
      <w:szCs w:val="28"/>
      <w:lang w:val="en-US"/>
    </w:rPr>
  </w:style>
  <w:style w:type="character" w:customStyle="1" w:styleId="Heading3Char">
    <w:name w:val="Heading 3 Char"/>
    <w:basedOn w:val="DefaultParagraphFont"/>
    <w:link w:val="Heading3"/>
    <w:uiPriority w:val="9"/>
    <w:rsid w:val="005F209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F2097"/>
    <w:rPr>
      <w:rFonts w:asciiTheme="majorHAnsi" w:eastAsiaTheme="majorEastAsia" w:hAnsiTheme="majorHAnsi" w:cstheme="majorBidi"/>
      <w:b/>
      <w:bCs/>
      <w:i/>
      <w:iCs/>
      <w:color w:val="4F81BD" w:themeColor="accent1"/>
    </w:rPr>
  </w:style>
  <w:style w:type="numbering" w:customStyle="1" w:styleId="NoList1">
    <w:name w:val="No List1"/>
    <w:next w:val="NoList"/>
    <w:uiPriority w:val="99"/>
    <w:semiHidden/>
    <w:unhideWhenUsed/>
    <w:rsid w:val="005F2097"/>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ußnotentext arial,f"/>
    <w:basedOn w:val="Normal"/>
    <w:link w:val="FootnoteTextChar"/>
    <w:uiPriority w:val="99"/>
    <w:qFormat/>
    <w:rsid w:val="005F2097"/>
    <w:pPr>
      <w:spacing w:after="0" w:line="240" w:lineRule="auto"/>
      <w:jc w:val="center"/>
    </w:pPr>
    <w:rPr>
      <w:rFonts w:ascii="Times New Roman" w:eastAsia="MS Mincho" w:hAnsi="Times New Roman" w:cs="Times New Roman"/>
      <w:sz w:val="20"/>
      <w:szCs w:val="20"/>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basedOn w:val="DefaultParagraphFont"/>
    <w:link w:val="FootnoteText"/>
    <w:uiPriority w:val="99"/>
    <w:rsid w:val="005F2097"/>
    <w:rPr>
      <w:rFonts w:ascii="Times New Roman" w:eastAsia="MS Mincho" w:hAnsi="Times New Roman" w:cs="Times New Roman"/>
      <w:sz w:val="20"/>
      <w:szCs w:val="20"/>
    </w:rPr>
  </w:style>
  <w:style w:type="paragraph" w:styleId="ListParagraph">
    <w:name w:val="List Paragraph"/>
    <w:aliases w:val="List Paragraph1,List1,List Paragraph11"/>
    <w:basedOn w:val="Normal"/>
    <w:link w:val="ListParagraphChar"/>
    <w:uiPriority w:val="34"/>
    <w:qFormat/>
    <w:rsid w:val="005F2097"/>
    <w:pPr>
      <w:spacing w:after="0" w:line="240" w:lineRule="auto"/>
      <w:ind w:left="720"/>
      <w:contextualSpacing/>
      <w:jc w:val="center"/>
    </w:pPr>
    <w:rPr>
      <w:rFonts w:ascii="Times New Roman" w:eastAsia="Times New Roman" w:hAnsi="Times New Roman" w:cs="Times New Roman"/>
      <w:sz w:val="24"/>
      <w:szCs w:val="24"/>
      <w:lang w:eastAsia="bg-BG"/>
    </w:rPr>
  </w:style>
  <w:style w:type="character" w:customStyle="1" w:styleId="ListParagraphChar">
    <w:name w:val="List Paragraph Char"/>
    <w:aliases w:val="List Paragraph1 Char,List1 Char,List Paragraph11 Char"/>
    <w:link w:val="ListParagraph"/>
    <w:locked/>
    <w:rsid w:val="005F2097"/>
    <w:rPr>
      <w:rFonts w:ascii="Times New Roman" w:eastAsia="Times New Roman" w:hAnsi="Times New Roman" w:cs="Times New Roman"/>
      <w:sz w:val="24"/>
      <w:szCs w:val="24"/>
      <w:lang w:eastAsia="bg-BG"/>
    </w:rPr>
  </w:style>
  <w:style w:type="character" w:styleId="Hyperlink">
    <w:name w:val="Hyperlink"/>
    <w:rsid w:val="005F2097"/>
    <w:rPr>
      <w:color w:val="0000FF"/>
      <w:u w:val="single"/>
    </w:rPr>
  </w:style>
  <w:style w:type="character" w:styleId="FootnoteReference">
    <w:name w:val="footnote reference"/>
    <w:aliases w:val="Footnote symbol,Estilo de nota al pie de Africa,ftref,16 Point,Superscript 6 Point,Footnote Reference Number,Footnote Reference_LVL6,Footnote Reference_LVL61,Footnote Reference_LVL62,Footnote Reference_LVL63,Footnote Reference_LVL64"/>
    <w:uiPriority w:val="99"/>
    <w:rsid w:val="005F2097"/>
    <w:rPr>
      <w:vertAlign w:val="superscript"/>
    </w:rPr>
  </w:style>
  <w:style w:type="paragraph" w:styleId="BodyText">
    <w:name w:val="Body Text"/>
    <w:basedOn w:val="Normal"/>
    <w:link w:val="BodyTextChar"/>
    <w:uiPriority w:val="1"/>
    <w:qFormat/>
    <w:rsid w:val="005F2097"/>
    <w:pPr>
      <w:autoSpaceDE w:val="0"/>
      <w:autoSpaceDN w:val="0"/>
      <w:spacing w:before="120" w:after="0" w:line="240" w:lineRule="auto"/>
      <w:jc w:val="both"/>
    </w:pPr>
    <w:rPr>
      <w:rFonts w:ascii="Times New Roman CYR" w:eastAsia="Times New Roman" w:hAnsi="Times New Roman CYR" w:cs="Times New Roman"/>
    </w:rPr>
  </w:style>
  <w:style w:type="character" w:customStyle="1" w:styleId="BodyTextChar">
    <w:name w:val="Body Text Char"/>
    <w:basedOn w:val="DefaultParagraphFont"/>
    <w:link w:val="BodyText"/>
    <w:uiPriority w:val="1"/>
    <w:rsid w:val="005F2097"/>
    <w:rPr>
      <w:rFonts w:ascii="Times New Roman CYR" w:eastAsia="Times New Roman" w:hAnsi="Times New Roman CYR" w:cs="Times New Roman"/>
    </w:rPr>
  </w:style>
  <w:style w:type="paragraph" w:styleId="PlainText">
    <w:name w:val="Plain Text"/>
    <w:basedOn w:val="Normal"/>
    <w:link w:val="PlainTextChar"/>
    <w:rsid w:val="005F2097"/>
    <w:pPr>
      <w:spacing w:after="0" w:line="240" w:lineRule="auto"/>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rsid w:val="005F2097"/>
    <w:rPr>
      <w:rFonts w:ascii="Courier New" w:eastAsia="Times New Roman" w:hAnsi="Courier New" w:cs="Courier New"/>
      <w:sz w:val="20"/>
      <w:szCs w:val="20"/>
      <w:lang w:val="en-US"/>
    </w:rPr>
  </w:style>
  <w:style w:type="paragraph" w:styleId="NormalWeb">
    <w:name w:val="Normal (Web)"/>
    <w:basedOn w:val="Normal"/>
    <w:uiPriority w:val="99"/>
    <w:unhideWhenUsed/>
    <w:rsid w:val="005F209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mw-headline">
    <w:name w:val="mw-headline"/>
    <w:basedOn w:val="DefaultParagraphFont"/>
    <w:rsid w:val="005F2097"/>
  </w:style>
  <w:style w:type="character" w:customStyle="1" w:styleId="mw-editsection1">
    <w:name w:val="mw-editsection1"/>
    <w:basedOn w:val="DefaultParagraphFont"/>
    <w:rsid w:val="005F2097"/>
  </w:style>
  <w:style w:type="character" w:customStyle="1" w:styleId="mw-editsection-bracket">
    <w:name w:val="mw-editsection-bracket"/>
    <w:basedOn w:val="DefaultParagraphFont"/>
    <w:rsid w:val="005F2097"/>
  </w:style>
  <w:style w:type="character" w:customStyle="1" w:styleId="mw-editsection-divider1">
    <w:name w:val="mw-editsection-divider1"/>
    <w:basedOn w:val="DefaultParagraphFont"/>
    <w:rsid w:val="005F2097"/>
    <w:rPr>
      <w:color w:val="555555"/>
    </w:rPr>
  </w:style>
  <w:style w:type="table" w:styleId="TableGrid">
    <w:name w:val="Table Grid"/>
    <w:basedOn w:val="TableNormal"/>
    <w:uiPriority w:val="59"/>
    <w:rsid w:val="005F20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Списък на абзаци"/>
    <w:basedOn w:val="Normal"/>
    <w:qFormat/>
    <w:rsid w:val="005F2097"/>
    <w:pPr>
      <w:spacing w:after="0" w:line="240" w:lineRule="auto"/>
      <w:ind w:left="720"/>
      <w:contextualSpacing/>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5F2097"/>
    <w:rPr>
      <w:b/>
      <w:bCs/>
    </w:rPr>
  </w:style>
  <w:style w:type="paragraph" w:styleId="BodyText2">
    <w:name w:val="Body Text 2"/>
    <w:basedOn w:val="Normal"/>
    <w:link w:val="BodyText2Char"/>
    <w:uiPriority w:val="99"/>
    <w:semiHidden/>
    <w:unhideWhenUsed/>
    <w:rsid w:val="005F2097"/>
    <w:pPr>
      <w:spacing w:after="120" w:line="480" w:lineRule="auto"/>
    </w:pPr>
  </w:style>
  <w:style w:type="character" w:customStyle="1" w:styleId="BodyText2Char">
    <w:name w:val="Body Text 2 Char"/>
    <w:basedOn w:val="DefaultParagraphFont"/>
    <w:link w:val="BodyText2"/>
    <w:uiPriority w:val="99"/>
    <w:semiHidden/>
    <w:rsid w:val="005F2097"/>
  </w:style>
  <w:style w:type="character" w:customStyle="1" w:styleId="textexposedshow">
    <w:name w:val="text_exposed_show"/>
    <w:basedOn w:val="DefaultParagraphFont"/>
    <w:rsid w:val="005F2097"/>
  </w:style>
  <w:style w:type="paragraph" w:styleId="BodyTextIndent2">
    <w:name w:val="Body Text Indent 2"/>
    <w:basedOn w:val="Normal"/>
    <w:link w:val="BodyTextIndent2Char"/>
    <w:uiPriority w:val="99"/>
    <w:semiHidden/>
    <w:unhideWhenUsed/>
    <w:rsid w:val="005F2097"/>
    <w:pPr>
      <w:spacing w:after="120" w:line="480" w:lineRule="auto"/>
      <w:ind w:left="283"/>
      <w:jc w:val="center"/>
    </w:pPr>
  </w:style>
  <w:style w:type="character" w:customStyle="1" w:styleId="BodyTextIndent2Char">
    <w:name w:val="Body Text Indent 2 Char"/>
    <w:basedOn w:val="DefaultParagraphFont"/>
    <w:link w:val="BodyTextIndent2"/>
    <w:uiPriority w:val="99"/>
    <w:semiHidden/>
    <w:rsid w:val="005F2097"/>
  </w:style>
  <w:style w:type="paragraph" w:customStyle="1" w:styleId="Style3">
    <w:name w:val="Style3"/>
    <w:basedOn w:val="Normal"/>
    <w:uiPriority w:val="99"/>
    <w:rsid w:val="005F2097"/>
    <w:pPr>
      <w:pBdr>
        <w:bottom w:val="thinThickSmallGap" w:sz="24" w:space="1" w:color="000000"/>
      </w:pBdr>
      <w:suppressAutoHyphens/>
      <w:spacing w:before="120" w:after="120" w:line="240" w:lineRule="auto"/>
      <w:ind w:firstLine="709"/>
      <w:jc w:val="both"/>
    </w:pPr>
    <w:rPr>
      <w:rFonts w:ascii="Times New Roman" w:eastAsia="Times New Roman" w:hAnsi="Times New Roman" w:cs="Times New Roman"/>
      <w:sz w:val="24"/>
      <w:szCs w:val="24"/>
      <w:lang w:eastAsia="zh-CN"/>
    </w:rPr>
  </w:style>
  <w:style w:type="paragraph" w:customStyle="1" w:styleId="TableParagraph">
    <w:name w:val="Table Paragraph"/>
    <w:basedOn w:val="Normal"/>
    <w:uiPriority w:val="1"/>
    <w:qFormat/>
    <w:rsid w:val="005F2097"/>
    <w:pPr>
      <w:widowControl w:val="0"/>
      <w:autoSpaceDE w:val="0"/>
      <w:autoSpaceDN w:val="0"/>
      <w:spacing w:after="0" w:line="240" w:lineRule="auto"/>
      <w:jc w:val="right"/>
    </w:pPr>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5F2097"/>
    <w:rPr>
      <w:sz w:val="16"/>
      <w:szCs w:val="16"/>
    </w:rPr>
  </w:style>
  <w:style w:type="paragraph" w:styleId="BodyText3">
    <w:name w:val="Body Text 3"/>
    <w:basedOn w:val="Normal"/>
    <w:link w:val="BodyText3Char"/>
    <w:uiPriority w:val="99"/>
    <w:semiHidden/>
    <w:unhideWhenUsed/>
    <w:rsid w:val="005F2097"/>
    <w:pPr>
      <w:widowControl w:val="0"/>
      <w:autoSpaceDE w:val="0"/>
      <w:autoSpaceDN w:val="0"/>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uiPriority w:val="99"/>
    <w:semiHidden/>
    <w:rsid w:val="005F2097"/>
    <w:rPr>
      <w:rFonts w:ascii="Times New Roman" w:eastAsia="Times New Roman" w:hAnsi="Times New Roman" w:cs="Times New Roman"/>
      <w:sz w:val="16"/>
      <w:szCs w:val="16"/>
      <w:lang w:val="en-US"/>
    </w:rPr>
  </w:style>
  <w:style w:type="paragraph" w:styleId="CommentText">
    <w:name w:val="annotation text"/>
    <w:basedOn w:val="Normal"/>
    <w:link w:val="CommentTextChar"/>
    <w:uiPriority w:val="99"/>
    <w:semiHidden/>
    <w:unhideWhenUsed/>
    <w:rsid w:val="005F2097"/>
    <w:pPr>
      <w:widowControl w:val="0"/>
      <w:autoSpaceDE w:val="0"/>
      <w:autoSpaceDN w:val="0"/>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semiHidden/>
    <w:rsid w:val="005F2097"/>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5F2097"/>
    <w:rPr>
      <w:b/>
      <w:bCs/>
    </w:rPr>
  </w:style>
  <w:style w:type="character" w:customStyle="1" w:styleId="CommentSubjectChar">
    <w:name w:val="Comment Subject Char"/>
    <w:basedOn w:val="CommentTextChar"/>
    <w:link w:val="CommentSubject"/>
    <w:uiPriority w:val="99"/>
    <w:semiHidden/>
    <w:rsid w:val="005F2097"/>
    <w:rPr>
      <w:rFonts w:ascii="Times New Roman" w:eastAsia="Times New Roman" w:hAnsi="Times New Roman" w:cs="Times New Roman"/>
      <w:b/>
      <w:bCs/>
      <w:sz w:val="20"/>
      <w:szCs w:val="20"/>
      <w:lang w:val="en-US"/>
    </w:rPr>
  </w:style>
  <w:style w:type="paragraph" w:styleId="Title">
    <w:name w:val="Title"/>
    <w:basedOn w:val="Normal"/>
    <w:link w:val="TitleChar"/>
    <w:qFormat/>
    <w:rsid w:val="005F2097"/>
    <w:pPr>
      <w:spacing w:after="0" w:line="240" w:lineRule="auto"/>
      <w:jc w:val="center"/>
    </w:pPr>
    <w:rPr>
      <w:rFonts w:ascii="Times New Roman" w:eastAsia="Times New Roman" w:hAnsi="Times New Roman" w:cs="Times New Roman"/>
      <w:sz w:val="28"/>
      <w:szCs w:val="20"/>
    </w:rPr>
  </w:style>
  <w:style w:type="character" w:customStyle="1" w:styleId="TitleChar">
    <w:name w:val="Title Char"/>
    <w:basedOn w:val="DefaultParagraphFont"/>
    <w:link w:val="Title"/>
    <w:rsid w:val="005F2097"/>
    <w:rPr>
      <w:rFonts w:ascii="Times New Roman" w:eastAsia="Times New Roman" w:hAnsi="Times New Roman" w:cs="Times New Roman"/>
      <w:sz w:val="28"/>
      <w:szCs w:val="20"/>
    </w:rPr>
  </w:style>
  <w:style w:type="paragraph" w:customStyle="1" w:styleId="Default">
    <w:name w:val="Default"/>
    <w:rsid w:val="005F2097"/>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character" w:customStyle="1" w:styleId="2">
    <w:name w:val="Основен текст (2)_"/>
    <w:link w:val="20"/>
    <w:locked/>
    <w:rsid w:val="005F2097"/>
    <w:rPr>
      <w:shd w:val="clear" w:color="auto" w:fill="FFFFFF"/>
    </w:rPr>
  </w:style>
  <w:style w:type="paragraph" w:customStyle="1" w:styleId="20">
    <w:name w:val="Основен текст (2)"/>
    <w:basedOn w:val="Normal"/>
    <w:link w:val="2"/>
    <w:rsid w:val="005F2097"/>
    <w:pPr>
      <w:widowControl w:val="0"/>
      <w:shd w:val="clear" w:color="auto" w:fill="FFFFFF"/>
      <w:spacing w:before="120" w:after="0" w:line="274" w:lineRule="exact"/>
      <w:ind w:hanging="400"/>
      <w:jc w:val="both"/>
    </w:pPr>
  </w:style>
  <w:style w:type="paragraph" w:styleId="NoSpacing">
    <w:name w:val="No Spacing"/>
    <w:uiPriority w:val="1"/>
    <w:qFormat/>
    <w:rsid w:val="005F2097"/>
    <w:pPr>
      <w:spacing w:after="0" w:line="240" w:lineRule="auto"/>
    </w:pPr>
    <w:rPr>
      <w:rFonts w:ascii="Calibri" w:eastAsia="Calibri" w:hAnsi="Calibri" w:cs="Times New Roman"/>
    </w:rPr>
  </w:style>
  <w:style w:type="character" w:customStyle="1" w:styleId="k-link28">
    <w:name w:val="k-link28"/>
    <w:basedOn w:val="DefaultParagraphFont"/>
    <w:rsid w:val="005F2097"/>
    <w:rPr>
      <w:strike w:val="0"/>
      <w:dstrike w:val="0"/>
      <w:u w:val="none"/>
      <w:effect w:val="none"/>
    </w:rPr>
  </w:style>
  <w:style w:type="character" w:styleId="Emphasis">
    <w:name w:val="Emphasis"/>
    <w:basedOn w:val="DefaultParagraphFont"/>
    <w:uiPriority w:val="20"/>
    <w:qFormat/>
    <w:rsid w:val="005F2097"/>
    <w:rPr>
      <w:i/>
      <w:iCs/>
    </w:rPr>
  </w:style>
  <w:style w:type="character" w:customStyle="1" w:styleId="english-link2">
    <w:name w:val="english-link2"/>
    <w:basedOn w:val="DefaultParagraphFont"/>
    <w:rsid w:val="005F2097"/>
  </w:style>
  <w:style w:type="paragraph" w:customStyle="1" w:styleId="Pa0">
    <w:name w:val="Pa0"/>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character" w:customStyle="1" w:styleId="A2">
    <w:name w:val="A2"/>
    <w:uiPriority w:val="99"/>
    <w:rsid w:val="005F2097"/>
    <w:rPr>
      <w:rFonts w:cs="EC Square Sans Pro"/>
      <w:b/>
      <w:bCs/>
      <w:color w:val="000000"/>
      <w:sz w:val="48"/>
      <w:szCs w:val="48"/>
    </w:rPr>
  </w:style>
  <w:style w:type="character" w:customStyle="1" w:styleId="A5">
    <w:name w:val="A5"/>
    <w:uiPriority w:val="99"/>
    <w:rsid w:val="005F2097"/>
    <w:rPr>
      <w:rFonts w:cs="EC Square Sans Pro"/>
      <w:color w:val="000000"/>
      <w:sz w:val="20"/>
      <w:szCs w:val="20"/>
    </w:rPr>
  </w:style>
  <w:style w:type="paragraph" w:customStyle="1" w:styleId="Pa5">
    <w:name w:val="Pa5"/>
    <w:basedOn w:val="Default"/>
    <w:next w:val="Default"/>
    <w:uiPriority w:val="99"/>
    <w:rsid w:val="005F2097"/>
    <w:pPr>
      <w:spacing w:line="281" w:lineRule="atLeast"/>
    </w:pPr>
    <w:rPr>
      <w:rFonts w:ascii="EC Square Sans Pro" w:eastAsiaTheme="minorHAnsi" w:hAnsi="EC Square Sans Pro" w:cstheme="minorBidi"/>
      <w:color w:val="auto"/>
      <w:lang w:eastAsia="en-US"/>
    </w:rPr>
  </w:style>
  <w:style w:type="paragraph" w:customStyle="1" w:styleId="Pa6">
    <w:name w:val="Pa6"/>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13">
    <w:name w:val="Pa13"/>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3">
    <w:name w:val="Pa3"/>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character" w:customStyle="1" w:styleId="A0">
    <w:name w:val="A0"/>
    <w:uiPriority w:val="99"/>
    <w:rsid w:val="005F2097"/>
    <w:rPr>
      <w:rFonts w:ascii="IRUSGN+ECSquareSansCondPro-Bold" w:hAnsi="IRUSGN+ECSquareSansCondPro-Bold" w:cs="IRUSGN+ECSquareSansCondPro-Bold"/>
      <w:color w:val="000000"/>
      <w:sz w:val="16"/>
      <w:szCs w:val="16"/>
    </w:rPr>
  </w:style>
  <w:style w:type="paragraph" w:customStyle="1" w:styleId="Pa1">
    <w:name w:val="Pa1"/>
    <w:basedOn w:val="Default"/>
    <w:next w:val="Default"/>
    <w:uiPriority w:val="99"/>
    <w:rsid w:val="005F2097"/>
    <w:pPr>
      <w:spacing w:line="241" w:lineRule="atLeast"/>
    </w:pPr>
    <w:rPr>
      <w:rFonts w:ascii="EC Square Sans Pro" w:eastAsiaTheme="minorHAnsi" w:hAnsi="EC Square Sans Pro" w:cstheme="minorBidi"/>
      <w:color w:val="auto"/>
      <w:lang w:eastAsia="en-US"/>
    </w:rPr>
  </w:style>
  <w:style w:type="paragraph" w:customStyle="1" w:styleId="Pa2">
    <w:name w:val="Pa2"/>
    <w:basedOn w:val="Default"/>
    <w:next w:val="Default"/>
    <w:uiPriority w:val="99"/>
    <w:rsid w:val="005F2097"/>
    <w:pPr>
      <w:spacing w:line="221" w:lineRule="atLeast"/>
    </w:pPr>
    <w:rPr>
      <w:rFonts w:ascii="EC Square Sans Pro" w:eastAsiaTheme="minorHAnsi" w:hAnsi="EC Square Sans Pro" w:cstheme="minorBidi"/>
      <w:color w:val="auto"/>
      <w:lang w:eastAsia="en-US"/>
    </w:rPr>
  </w:style>
  <w:style w:type="paragraph" w:customStyle="1" w:styleId="Pa16">
    <w:name w:val="Pa16"/>
    <w:basedOn w:val="Default"/>
    <w:next w:val="Default"/>
    <w:uiPriority w:val="99"/>
    <w:rsid w:val="005F2097"/>
    <w:pPr>
      <w:spacing w:line="221" w:lineRule="atLeast"/>
    </w:pPr>
    <w:rPr>
      <w:rFonts w:ascii="Garamond" w:eastAsiaTheme="minorHAnsi" w:hAnsi="Garamond" w:cstheme="minorBidi"/>
      <w:color w:val="auto"/>
      <w:lang w:eastAsia="en-US"/>
    </w:rPr>
  </w:style>
  <w:style w:type="paragraph" w:customStyle="1" w:styleId="Pa14">
    <w:name w:val="Pa14"/>
    <w:basedOn w:val="Default"/>
    <w:next w:val="Default"/>
    <w:uiPriority w:val="99"/>
    <w:rsid w:val="005F2097"/>
    <w:pPr>
      <w:spacing w:line="181" w:lineRule="atLeast"/>
    </w:pPr>
    <w:rPr>
      <w:rFonts w:ascii="EC Square Sans Pro" w:eastAsiaTheme="minorHAnsi" w:hAnsi="EC Square Sans Pro" w:cstheme="minorBidi"/>
      <w:color w:val="auto"/>
      <w:lang w:eastAsia="en-US"/>
    </w:rPr>
  </w:style>
  <w:style w:type="paragraph" w:customStyle="1" w:styleId="Style1">
    <w:name w:val="Style1"/>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2">
    <w:name w:val="Style2"/>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4">
    <w:name w:val="Style4"/>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6">
    <w:name w:val="Style6"/>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7">
    <w:name w:val="Style7"/>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8">
    <w:name w:val="Style8"/>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9">
    <w:name w:val="Style9"/>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1">
    <w:name w:val="Style11"/>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3">
    <w:name w:val="Style13"/>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paragraph" w:customStyle="1" w:styleId="Style14">
    <w:name w:val="Style14"/>
    <w:basedOn w:val="Normal"/>
    <w:uiPriority w:val="99"/>
    <w:rsid w:val="005F2097"/>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character" w:customStyle="1" w:styleId="FontStyle16">
    <w:name w:val="Font Style16"/>
    <w:basedOn w:val="DefaultParagraphFont"/>
    <w:uiPriority w:val="99"/>
    <w:rsid w:val="005F2097"/>
    <w:rPr>
      <w:rFonts w:ascii="Times New Roman" w:hAnsi="Times New Roman" w:cs="Times New Roman"/>
      <w:i/>
      <w:iCs/>
      <w:sz w:val="24"/>
      <w:szCs w:val="24"/>
    </w:rPr>
  </w:style>
  <w:style w:type="character" w:customStyle="1" w:styleId="FontStyle17">
    <w:name w:val="Font Style17"/>
    <w:basedOn w:val="DefaultParagraphFont"/>
    <w:uiPriority w:val="99"/>
    <w:rsid w:val="005F2097"/>
    <w:rPr>
      <w:rFonts w:ascii="Times New Roman" w:hAnsi="Times New Roman" w:cs="Times New Roman"/>
      <w:b/>
      <w:bCs/>
      <w:i/>
      <w:iCs/>
      <w:sz w:val="20"/>
      <w:szCs w:val="20"/>
    </w:rPr>
  </w:style>
  <w:style w:type="character" w:customStyle="1" w:styleId="FontStyle18">
    <w:name w:val="Font Style18"/>
    <w:basedOn w:val="DefaultParagraphFont"/>
    <w:uiPriority w:val="99"/>
    <w:rsid w:val="005F2097"/>
    <w:rPr>
      <w:rFonts w:ascii="Times New Roman" w:hAnsi="Times New Roman" w:cs="Times New Roman"/>
      <w:b/>
      <w:bCs/>
      <w:sz w:val="26"/>
      <w:szCs w:val="26"/>
    </w:rPr>
  </w:style>
  <w:style w:type="character" w:customStyle="1" w:styleId="FontStyle19">
    <w:name w:val="Font Style19"/>
    <w:basedOn w:val="DefaultParagraphFont"/>
    <w:uiPriority w:val="99"/>
    <w:rsid w:val="005F2097"/>
    <w:rPr>
      <w:rFonts w:ascii="Times New Roman" w:hAnsi="Times New Roman" w:cs="Times New Roman"/>
      <w:b/>
      <w:bCs/>
      <w:sz w:val="20"/>
      <w:szCs w:val="20"/>
    </w:rPr>
  </w:style>
  <w:style w:type="character" w:customStyle="1" w:styleId="FontStyle20">
    <w:name w:val="Font Style20"/>
    <w:basedOn w:val="DefaultParagraphFont"/>
    <w:uiPriority w:val="99"/>
    <w:rsid w:val="005F2097"/>
    <w:rPr>
      <w:rFonts w:ascii="Times New Roman" w:hAnsi="Times New Roman" w:cs="Times New Roman"/>
      <w:sz w:val="18"/>
      <w:szCs w:val="18"/>
    </w:rPr>
  </w:style>
  <w:style w:type="character" w:customStyle="1" w:styleId="FontStyle21">
    <w:name w:val="Font Style21"/>
    <w:basedOn w:val="DefaultParagraphFont"/>
    <w:uiPriority w:val="99"/>
    <w:rsid w:val="005F2097"/>
    <w:rPr>
      <w:rFonts w:ascii="Times New Roman" w:hAnsi="Times New Roman" w:cs="Times New Roman"/>
      <w:sz w:val="20"/>
      <w:szCs w:val="20"/>
    </w:rPr>
  </w:style>
  <w:style w:type="character" w:customStyle="1" w:styleId="FontStyle22">
    <w:name w:val="Font Style22"/>
    <w:basedOn w:val="DefaultParagraphFont"/>
    <w:uiPriority w:val="99"/>
    <w:rsid w:val="005F2097"/>
    <w:rPr>
      <w:rFonts w:ascii="Times New Roman" w:hAnsi="Times New Roman" w:cs="Times New Roman"/>
      <w:sz w:val="18"/>
      <w:szCs w:val="18"/>
    </w:rPr>
  </w:style>
  <w:style w:type="paragraph" w:styleId="z-TopofForm">
    <w:name w:val="HTML Top of Form"/>
    <w:basedOn w:val="Normal"/>
    <w:next w:val="Normal"/>
    <w:link w:val="z-TopofFormChar"/>
    <w:hidden/>
    <w:uiPriority w:val="99"/>
    <w:unhideWhenUsed/>
    <w:rsid w:val="005F2097"/>
    <w:pPr>
      <w:pBdr>
        <w:bottom w:val="single" w:sz="6" w:space="1" w:color="auto"/>
      </w:pBdr>
      <w:spacing w:after="0" w:line="240" w:lineRule="auto"/>
      <w:jc w:val="center"/>
    </w:pPr>
    <w:rPr>
      <w:rFonts w:ascii="Arial" w:eastAsia="Times New Roman" w:hAnsi="Arial" w:cs="Arial"/>
      <w:vanish/>
      <w:sz w:val="16"/>
      <w:szCs w:val="16"/>
      <w:lang w:eastAsia="bg-BG"/>
    </w:rPr>
  </w:style>
  <w:style w:type="character" w:customStyle="1" w:styleId="z-TopofFormChar">
    <w:name w:val="z-Top of Form Char"/>
    <w:basedOn w:val="DefaultParagraphFont"/>
    <w:link w:val="z-TopofForm"/>
    <w:uiPriority w:val="99"/>
    <w:rsid w:val="005F2097"/>
    <w:rPr>
      <w:rFonts w:ascii="Arial" w:eastAsia="Times New Roman" w:hAnsi="Arial" w:cs="Arial"/>
      <w:vanish/>
      <w:sz w:val="16"/>
      <w:szCs w:val="16"/>
      <w:lang w:eastAsia="bg-BG"/>
    </w:rPr>
  </w:style>
  <w:style w:type="paragraph" w:styleId="z-BottomofForm">
    <w:name w:val="HTML Bottom of Form"/>
    <w:basedOn w:val="Normal"/>
    <w:next w:val="Normal"/>
    <w:link w:val="z-BottomofFormChar"/>
    <w:hidden/>
    <w:uiPriority w:val="99"/>
    <w:semiHidden/>
    <w:unhideWhenUsed/>
    <w:rsid w:val="005F2097"/>
    <w:pPr>
      <w:pBdr>
        <w:top w:val="single" w:sz="6" w:space="1" w:color="auto"/>
      </w:pBdr>
      <w:spacing w:after="0" w:line="240" w:lineRule="auto"/>
      <w:jc w:val="center"/>
    </w:pPr>
    <w:rPr>
      <w:rFonts w:ascii="Arial" w:eastAsia="Times New Roman" w:hAnsi="Arial" w:cs="Arial"/>
      <w:vanish/>
      <w:sz w:val="16"/>
      <w:szCs w:val="16"/>
      <w:lang w:eastAsia="bg-BG"/>
    </w:rPr>
  </w:style>
  <w:style w:type="character" w:customStyle="1" w:styleId="z-BottomofFormChar">
    <w:name w:val="z-Bottom of Form Char"/>
    <w:basedOn w:val="DefaultParagraphFont"/>
    <w:link w:val="z-BottomofForm"/>
    <w:uiPriority w:val="99"/>
    <w:semiHidden/>
    <w:rsid w:val="005F2097"/>
    <w:rPr>
      <w:rFonts w:ascii="Arial" w:eastAsia="Times New Roman" w:hAnsi="Arial" w:cs="Arial"/>
      <w:vanish/>
      <w:sz w:val="16"/>
      <w:szCs w:val="16"/>
      <w:lang w:eastAsia="bg-BG"/>
    </w:rPr>
  </w:style>
  <w:style w:type="paragraph" w:customStyle="1" w:styleId="submitted1">
    <w:name w:val="submitted1"/>
    <w:basedOn w:val="Normal"/>
    <w:rsid w:val="005F2097"/>
    <w:pPr>
      <w:spacing w:after="0" w:line="240" w:lineRule="auto"/>
    </w:pPr>
    <w:rPr>
      <w:rFonts w:ascii="Times New Roman" w:eastAsia="Times New Roman" w:hAnsi="Times New Roman" w:cs="Times New Roman"/>
      <w:i/>
      <w:iCs/>
      <w:lang w:eastAsia="bg-BG"/>
    </w:rPr>
  </w:style>
  <w:style w:type="paragraph" w:customStyle="1" w:styleId="Pa20">
    <w:name w:val="Pa20"/>
    <w:basedOn w:val="Default"/>
    <w:next w:val="Default"/>
    <w:uiPriority w:val="99"/>
    <w:rsid w:val="005F2097"/>
    <w:pPr>
      <w:spacing w:line="181" w:lineRule="atLeast"/>
    </w:pPr>
    <w:rPr>
      <w:rFonts w:ascii="Garamond" w:eastAsiaTheme="minorHAnsi" w:hAnsi="Garamond" w:cstheme="minorBidi"/>
      <w:color w:val="auto"/>
      <w:lang w:eastAsia="en-US"/>
    </w:rPr>
  </w:style>
  <w:style w:type="paragraph" w:customStyle="1" w:styleId="meta">
    <w:name w:val="meta"/>
    <w:basedOn w:val="Normal"/>
    <w:rsid w:val="005F2097"/>
    <w:pPr>
      <w:spacing w:before="100" w:beforeAutospacing="1" w:after="100" w:afterAutospacing="1" w:line="240" w:lineRule="auto"/>
    </w:pPr>
    <w:rPr>
      <w:rFonts w:ascii="Tahoma" w:eastAsia="Times New Roman" w:hAnsi="Tahoma" w:cs="Tahoma"/>
      <w:color w:val="999999"/>
      <w:sz w:val="23"/>
      <w:szCs w:val="23"/>
      <w:lang w:eastAsia="bg-BG"/>
    </w:rPr>
  </w:style>
  <w:style w:type="character" w:styleId="FollowedHyperlink">
    <w:name w:val="FollowedHyperlink"/>
    <w:basedOn w:val="DefaultParagraphFont"/>
    <w:uiPriority w:val="99"/>
    <w:semiHidden/>
    <w:unhideWhenUsed/>
    <w:rsid w:val="005F2097"/>
    <w:rPr>
      <w:color w:val="800080" w:themeColor="followedHyperlink"/>
      <w:u w:val="single"/>
    </w:rPr>
  </w:style>
  <w:style w:type="paragraph" w:styleId="EndnoteText">
    <w:name w:val="endnote text"/>
    <w:basedOn w:val="Normal"/>
    <w:link w:val="EndnoteTextChar"/>
    <w:uiPriority w:val="99"/>
    <w:semiHidden/>
    <w:unhideWhenUsed/>
    <w:rsid w:val="002000F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000F0"/>
    <w:rPr>
      <w:sz w:val="20"/>
      <w:szCs w:val="20"/>
    </w:rPr>
  </w:style>
  <w:style w:type="character" w:styleId="EndnoteReference">
    <w:name w:val="endnote reference"/>
    <w:basedOn w:val="DefaultParagraphFont"/>
    <w:uiPriority w:val="99"/>
    <w:semiHidden/>
    <w:unhideWhenUsed/>
    <w:rsid w:val="002000F0"/>
    <w:rPr>
      <w:vertAlign w:val="superscript"/>
    </w:rPr>
  </w:style>
  <w:style w:type="table" w:customStyle="1" w:styleId="TableGrid1">
    <w:name w:val="Table Grid1"/>
    <w:basedOn w:val="TableNormal"/>
    <w:next w:val="TableGrid"/>
    <w:uiPriority w:val="39"/>
    <w:rsid w:val="00220B52"/>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4C6069"/>
  </w:style>
  <w:style w:type="numbering" w:customStyle="1" w:styleId="NoList2">
    <w:name w:val="No List2"/>
    <w:next w:val="NoList"/>
    <w:uiPriority w:val="99"/>
    <w:semiHidden/>
    <w:unhideWhenUsed/>
    <w:rsid w:val="001777F1"/>
  </w:style>
  <w:style w:type="table" w:customStyle="1" w:styleId="TableGrid2">
    <w:name w:val="Table Grid2"/>
    <w:basedOn w:val="TableNormal"/>
    <w:next w:val="TableGrid"/>
    <w:uiPriority w:val="59"/>
    <w:rsid w:val="005618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7780592">
      <w:bodyDiv w:val="1"/>
      <w:marLeft w:val="0"/>
      <w:marRight w:val="0"/>
      <w:marTop w:val="0"/>
      <w:marBottom w:val="0"/>
      <w:divBdr>
        <w:top w:val="none" w:sz="0" w:space="0" w:color="auto"/>
        <w:left w:val="none" w:sz="0" w:space="0" w:color="auto"/>
        <w:bottom w:val="none" w:sz="0" w:space="0" w:color="auto"/>
        <w:right w:val="none" w:sz="0" w:space="0" w:color="auto"/>
      </w:divBdr>
      <w:divsChild>
        <w:div w:id="1406680246">
          <w:marLeft w:val="0"/>
          <w:marRight w:val="0"/>
          <w:marTop w:val="0"/>
          <w:marBottom w:val="0"/>
          <w:divBdr>
            <w:top w:val="none" w:sz="0" w:space="0" w:color="auto"/>
            <w:left w:val="none" w:sz="0" w:space="0" w:color="auto"/>
            <w:bottom w:val="none" w:sz="0" w:space="0" w:color="auto"/>
            <w:right w:val="none" w:sz="0" w:space="0" w:color="auto"/>
          </w:divBdr>
          <w:divsChild>
            <w:div w:id="177356880">
              <w:marLeft w:val="0"/>
              <w:marRight w:val="0"/>
              <w:marTop w:val="0"/>
              <w:marBottom w:val="0"/>
              <w:divBdr>
                <w:top w:val="none" w:sz="0" w:space="0" w:color="auto"/>
                <w:left w:val="none" w:sz="0" w:space="0" w:color="auto"/>
                <w:bottom w:val="none" w:sz="0" w:space="0" w:color="auto"/>
                <w:right w:val="none" w:sz="0" w:space="0" w:color="auto"/>
              </w:divBdr>
              <w:divsChild>
                <w:div w:id="459883738">
                  <w:marLeft w:val="0"/>
                  <w:marRight w:val="0"/>
                  <w:marTop w:val="0"/>
                  <w:marBottom w:val="0"/>
                  <w:divBdr>
                    <w:top w:val="none" w:sz="0" w:space="0" w:color="auto"/>
                    <w:left w:val="none" w:sz="0" w:space="0" w:color="auto"/>
                    <w:bottom w:val="none" w:sz="0" w:space="0" w:color="auto"/>
                    <w:right w:val="none" w:sz="0" w:space="0" w:color="auto"/>
                  </w:divBdr>
                  <w:divsChild>
                    <w:div w:id="1736976351">
                      <w:marLeft w:val="0"/>
                      <w:marRight w:val="0"/>
                      <w:marTop w:val="0"/>
                      <w:marBottom w:val="0"/>
                      <w:divBdr>
                        <w:top w:val="none" w:sz="0" w:space="0" w:color="auto"/>
                        <w:left w:val="none" w:sz="0" w:space="0" w:color="auto"/>
                        <w:bottom w:val="none" w:sz="0" w:space="0" w:color="auto"/>
                        <w:right w:val="none" w:sz="0" w:space="0" w:color="auto"/>
                      </w:divBdr>
                      <w:divsChild>
                        <w:div w:id="249628802">
                          <w:marLeft w:val="0"/>
                          <w:marRight w:val="0"/>
                          <w:marTop w:val="0"/>
                          <w:marBottom w:val="0"/>
                          <w:divBdr>
                            <w:top w:val="none" w:sz="0" w:space="0" w:color="auto"/>
                            <w:left w:val="none" w:sz="0" w:space="0" w:color="auto"/>
                            <w:bottom w:val="none" w:sz="0" w:space="0" w:color="auto"/>
                            <w:right w:val="none" w:sz="0" w:space="0" w:color="auto"/>
                          </w:divBdr>
                          <w:divsChild>
                            <w:div w:id="534276053">
                              <w:marLeft w:val="0"/>
                              <w:marRight w:val="0"/>
                              <w:marTop w:val="0"/>
                              <w:marBottom w:val="0"/>
                              <w:divBdr>
                                <w:top w:val="none" w:sz="0" w:space="0" w:color="auto"/>
                                <w:left w:val="none" w:sz="0" w:space="0" w:color="auto"/>
                                <w:bottom w:val="none" w:sz="0" w:space="0" w:color="auto"/>
                                <w:right w:val="none" w:sz="0" w:space="0" w:color="auto"/>
                              </w:divBdr>
                              <w:divsChild>
                                <w:div w:id="2070105681">
                                  <w:marLeft w:val="0"/>
                                  <w:marRight w:val="0"/>
                                  <w:marTop w:val="0"/>
                                  <w:marBottom w:val="0"/>
                                  <w:divBdr>
                                    <w:top w:val="none" w:sz="0" w:space="0" w:color="auto"/>
                                    <w:left w:val="none" w:sz="0" w:space="0" w:color="auto"/>
                                    <w:bottom w:val="none" w:sz="0" w:space="0" w:color="auto"/>
                                    <w:right w:val="none" w:sz="0" w:space="0" w:color="auto"/>
                                  </w:divBdr>
                                  <w:divsChild>
                                    <w:div w:id="754088581">
                                      <w:marLeft w:val="0"/>
                                      <w:marRight w:val="0"/>
                                      <w:marTop w:val="0"/>
                                      <w:marBottom w:val="0"/>
                                      <w:divBdr>
                                        <w:top w:val="none" w:sz="0" w:space="0" w:color="auto"/>
                                        <w:left w:val="none" w:sz="0" w:space="0" w:color="auto"/>
                                        <w:bottom w:val="none" w:sz="0" w:space="0" w:color="auto"/>
                                        <w:right w:val="none" w:sz="0" w:space="0" w:color="auto"/>
                                      </w:divBdr>
                                      <w:divsChild>
                                        <w:div w:id="1337340065">
                                          <w:marLeft w:val="0"/>
                                          <w:marRight w:val="0"/>
                                          <w:marTop w:val="0"/>
                                          <w:marBottom w:val="495"/>
                                          <w:divBdr>
                                            <w:top w:val="none" w:sz="0" w:space="0" w:color="auto"/>
                                            <w:left w:val="none" w:sz="0" w:space="0" w:color="auto"/>
                                            <w:bottom w:val="none" w:sz="0" w:space="0" w:color="auto"/>
                                            <w:right w:val="none" w:sz="0" w:space="0" w:color="auto"/>
                                          </w:divBdr>
                                          <w:divsChild>
                                            <w:div w:id="54618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yperlink" Target="file:///C:\Users\evoynova\AppData\Local\Microsoft\Windows\Temporary%20Internet%20Files\d.enchev\Downloads\strategy_LLL_2014_2020%20(2).pdf"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mlsp.government.bg/bg/docs/ACTIVE%20AGEING%20CONCEPT_2012-2030.doc" TargetMode="External"/><Relationship Id="rId3" Type="http://schemas.openxmlformats.org/officeDocument/2006/relationships/hyperlink" Target="https://www.ilo.org/wcmsp5/groups/public/---dgreports/---dcomm/---publ/documents/publication/wcms_652001.pdf" TargetMode="External"/><Relationship Id="rId7" Type="http://schemas.openxmlformats.org/officeDocument/2006/relationships/hyperlink" Target="https://ec.europa.eu/info/sites/info/files/economy-finance/ip065_en.pdf" TargetMode="External"/><Relationship Id="rId2" Type="http://schemas.openxmlformats.org/officeDocument/2006/relationships/hyperlink" Target="http://data.uis.unesco.org/Index.aspx?queryid=172" TargetMode="External"/><Relationship Id="rId1" Type="http://schemas.openxmlformats.org/officeDocument/2006/relationships/hyperlink" Target="http://www.un.org/ru/sections/issues-depth/population/index.html" TargetMode="External"/><Relationship Id="rId6" Type="http://schemas.openxmlformats.org/officeDocument/2006/relationships/hyperlink" Target="https://appsso.eurostat.ec.europa.eu/nui/show.do?dataset=proj_18np&amp;lang=en" TargetMode="External"/><Relationship Id="rId11" Type="http://schemas.openxmlformats.org/officeDocument/2006/relationships/hyperlink" Target="http://register.consilium.europa.eu/doc/srv?l=BG&amp;f=ST%2017468%202012%20INIT" TargetMode="External"/><Relationship Id="rId5" Type="http://schemas.openxmlformats.org/officeDocument/2006/relationships/hyperlink" Target="https://ec.europa.eu/commission/sites/beta-political/files/reflection-paper-social-dimension-europe_bg.pdf" TargetMode="External"/><Relationship Id="rId10" Type="http://schemas.openxmlformats.org/officeDocument/2006/relationships/hyperlink" Target="https://knoema.com/atlas/topics/Demographics/Dependency-Ratios/Potential-support-ratio-15-64-per-65" TargetMode="External"/><Relationship Id="rId4" Type="http://schemas.openxmlformats.org/officeDocument/2006/relationships/hyperlink" Target="http://ec.europa.eu/eurostat/documents/2995521/8102195/3-10072017-AP-EN.pdf/a61ce1ca-1efd-41df-86a2-bb495daabdab" TargetMode="External"/><Relationship Id="rId9" Type="http://schemas.openxmlformats.org/officeDocument/2006/relationships/hyperlink" Target="https://esa.un.org/unpd/wpp/Publications/Files/WPP2019_KeyFindings.pdf"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Sheet1!$D$15</c:f>
              <c:strCache>
                <c:ptCount val="1"/>
                <c:pt idx="0">
                  <c:v>Средномесечен размер на помощта по чл. 9 от ППЗСП в лева</c:v>
                </c:pt>
              </c:strCache>
            </c:strRef>
          </c:tx>
          <c:spPr>
            <a:ln w="28574" cap="rnd">
              <a:solidFill>
                <a:srgbClr val="5B9BD5">
                  <a:lumMod val="75000"/>
                </a:srgbClr>
              </a:solidFill>
              <a:round/>
            </a:ln>
            <a:effectLst/>
          </c:spPr>
          <c:marker>
            <c:symbol val="circle"/>
            <c:size val="4"/>
            <c:spPr>
              <a:solidFill>
                <a:srgbClr val="5B9BD5">
                  <a:lumMod val="75000"/>
                </a:srgbClr>
              </a:solidFill>
              <a:ln w="28574">
                <a:solidFill>
                  <a:srgbClr val="5B9BD5">
                    <a:lumMod val="75000"/>
                  </a:srgbClr>
                </a:solidFill>
              </a:ln>
              <a:effectLst/>
            </c:spPr>
          </c:marker>
          <c:cat>
            <c:strRef>
              <c:f>Sheet1!$A$16:$A$17</c:f>
              <c:strCache>
                <c:ptCount val="2"/>
                <c:pt idx="0">
                  <c:v>2017 г.</c:v>
                </c:pt>
                <c:pt idx="1">
                  <c:v>2018 г.</c:v>
                </c:pt>
              </c:strCache>
            </c:strRef>
          </c:cat>
          <c:val>
            <c:numRef>
              <c:f>Sheet1!$D$16:$D$17</c:f>
              <c:numCache>
                <c:formatCode>#,##0</c:formatCode>
                <c:ptCount val="2"/>
                <c:pt idx="0">
                  <c:v>82.917913350487694</c:v>
                </c:pt>
                <c:pt idx="1">
                  <c:v>98.45997823020042</c:v>
                </c:pt>
              </c:numCache>
            </c:numRef>
          </c:val>
          <c:smooth val="0"/>
          <c:extLst xmlns:c16r2="http://schemas.microsoft.com/office/drawing/2015/06/chart">
            <c:ext xmlns:c16="http://schemas.microsoft.com/office/drawing/2014/chart" uri="{C3380CC4-5D6E-409C-BE32-E72D297353CC}">
              <c16:uniqueId val="{00000000-D84A-4499-82DC-2E101581ACB6}"/>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137047552"/>
        <c:axId val="137358720"/>
      </c:lineChart>
      <c:catAx>
        <c:axId val="13704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Verdana" panose="020B0604030504040204" pitchFamily="34" charset="0"/>
                <a:ea typeface="Verdana" panose="020B0604030504040204" pitchFamily="34" charset="0"/>
                <a:cs typeface="Verdana" panose="020B0604030504040204" pitchFamily="34" charset="0"/>
              </a:defRPr>
            </a:pPr>
            <a:endParaRPr lang="bg-BG"/>
          </a:p>
        </c:txPr>
        <c:crossAx val="137358720"/>
        <c:crosses val="autoZero"/>
        <c:auto val="1"/>
        <c:lblAlgn val="ctr"/>
        <c:lblOffset val="100"/>
        <c:noMultiLvlLbl val="0"/>
      </c:catAx>
      <c:valAx>
        <c:axId val="137358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ln w="6350">
            <a:noFill/>
          </a:ln>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Verdana" panose="020B0604030504040204" pitchFamily="34" charset="0"/>
              </a:defRPr>
            </a:pPr>
            <a:endParaRPr lang="bg-BG"/>
          </a:p>
        </c:txPr>
        <c:crossAx val="137047552"/>
        <c:crosses val="autoZero"/>
        <c:crossBetween val="between"/>
      </c:valAx>
      <c:spPr>
        <a:noFill/>
        <a:ln w="25400">
          <a:noFill/>
        </a:ln>
      </c:spPr>
    </c:plotArea>
    <c:legend>
      <c:legendPos val="r"/>
      <c:layout>
        <c:manualLayout>
          <c:xMode val="edge"/>
          <c:yMode val="edge"/>
          <c:x val="0.66732283464566933"/>
          <c:y val="0.37755102040816324"/>
          <c:w val="0.31692913385826771"/>
          <c:h val="0.21428571428571427"/>
        </c:manualLayout>
      </c:layout>
      <c:overlay val="0"/>
      <c:spPr>
        <a:noFill/>
        <a:ln w="25400">
          <a:noFill/>
        </a:ln>
      </c:spPr>
      <c:txPr>
        <a:bodyPr rot="0" spcFirstLastPara="1" vertOverflow="ellipsis" vert="horz" wrap="square" anchor="ctr" anchorCtr="1"/>
        <a:lstStyle/>
        <a:p>
          <a:pPr>
            <a:defRPr sz="800" b="1" i="1"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Verdana" panose="020B0604030504040204" pitchFamily="34" charset="0"/>
            </a:defRPr>
          </a:pPr>
          <a:endParaRPr lang="bg-BG"/>
        </a:p>
      </c:txPr>
    </c:legend>
    <c:plotVisOnly val="1"/>
    <c:dispBlanksAs val="gap"/>
    <c:showDLblsOverMax val="0"/>
  </c:chart>
  <c:spPr>
    <a:solidFill>
      <a:srgbClr val="EFF5FB"/>
    </a:solidFill>
    <a:ln w="9525" cap="flat" cmpd="sng" algn="ctr">
      <a:solidFill>
        <a:srgbClr val="5B9BD5">
          <a:lumMod val="75000"/>
        </a:srgbClr>
      </a:solidFill>
      <a:round/>
    </a:ln>
    <a:effectLst>
      <a:outerShdw blurRad="50800" dist="38100" dir="5400000" algn="t" rotWithShape="0">
        <a:prstClr val="black">
          <a:alpha val="40000"/>
        </a:prstClr>
      </a:outerShdw>
    </a:effectLst>
  </c:spPr>
  <c:txPr>
    <a:bodyPr/>
    <a:lstStyle/>
    <a:p>
      <a:pPr>
        <a:defRPr/>
      </a:pPr>
      <a:endParaRPr lang="bg-BG"/>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bg-BG"/>
              <a:t>ТРАПЕЗАРИИ</a:t>
            </a:r>
          </a:p>
        </c:rich>
      </c:tx>
      <c:overlay val="0"/>
    </c:title>
    <c:autoTitleDeleted val="0"/>
    <c:plotArea>
      <c:layout>
        <c:manualLayout>
          <c:layoutTarget val="inner"/>
          <c:xMode val="edge"/>
          <c:yMode val="edge"/>
          <c:x val="5.3691275167785234E-2"/>
          <c:y val="0.2027548209366391"/>
          <c:w val="0.90156599552572703"/>
          <c:h val="0.55515151515151517"/>
        </c:manualLayout>
      </c:layout>
      <c:barChart>
        <c:barDir val="col"/>
        <c:grouping val="clustered"/>
        <c:varyColors val="0"/>
        <c:ser>
          <c:idx val="0"/>
          <c:order val="0"/>
          <c:tx>
            <c:strRef>
              <c:f>Sheet1!$I$16</c:f>
              <c:strCache>
                <c:ptCount val="1"/>
                <c:pt idx="0">
                  <c:v>ТРАПЕЗАРИИ</c:v>
                </c:pt>
              </c:strCache>
            </c:strRef>
          </c:tx>
          <c:spPr>
            <a:ln>
              <a:gradFill>
                <a:gsLst>
                  <a:gs pos="0">
                    <a:schemeClr val="accent1">
                      <a:tint val="66000"/>
                      <a:satMod val="160000"/>
                    </a:schemeClr>
                  </a:gs>
                  <a:gs pos="35000">
                    <a:schemeClr val="accent2"/>
                  </a:gs>
                  <a:gs pos="100000">
                    <a:schemeClr val="accent1">
                      <a:tint val="23500"/>
                      <a:satMod val="160000"/>
                    </a:schemeClr>
                  </a:gs>
                </a:gsLst>
                <a:lin ang="5400000" scaled="0"/>
              </a:gradFill>
            </a:ln>
            <a:scene3d>
              <a:camera prst="orthographicFront"/>
              <a:lightRig rig="threePt" dir="t"/>
            </a:scene3d>
            <a:sp3d>
              <a:bevelT prst="slope"/>
            </a:sp3d>
          </c:spPr>
          <c:invertIfNegative val="0"/>
          <c:dLbls>
            <c:dLbl>
              <c:idx val="3"/>
              <c:tx>
                <c:rich>
                  <a:bodyPr/>
                  <a:lstStyle/>
                  <a:p>
                    <a:pPr>
                      <a:defRPr/>
                    </a:pPr>
                    <a:r>
                      <a:rPr lang="en-US"/>
                      <a:t>276</a:t>
                    </a:r>
                  </a:p>
                </c:rich>
              </c:tx>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C05-4D37-A298-6EEA221BD46D}"/>
                </c:ext>
              </c:extLst>
            </c:dLbl>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Sheet1!$H$17:$H$20</c:f>
              <c:strCache>
                <c:ptCount val="4"/>
                <c:pt idx="0">
                  <c:v>2015</c:v>
                </c:pt>
                <c:pt idx="1">
                  <c:v>2016 до 30.04.2016</c:v>
                </c:pt>
                <c:pt idx="2">
                  <c:v>2016-2020 към 31.12.2017</c:v>
                </c:pt>
                <c:pt idx="3">
                  <c:v>към 31.12.2018</c:v>
                </c:pt>
              </c:strCache>
            </c:strRef>
          </c:cat>
          <c:val>
            <c:numRef>
              <c:f>Sheet1!$I$17:$I$20</c:f>
              <c:numCache>
                <c:formatCode>General</c:formatCode>
                <c:ptCount val="4"/>
                <c:pt idx="0">
                  <c:v>111</c:v>
                </c:pt>
                <c:pt idx="1">
                  <c:v>247</c:v>
                </c:pt>
                <c:pt idx="2">
                  <c:v>260</c:v>
                </c:pt>
                <c:pt idx="3">
                  <c:v>274</c:v>
                </c:pt>
              </c:numCache>
            </c:numRef>
          </c:val>
          <c:extLst xmlns:c16r2="http://schemas.microsoft.com/office/drawing/2015/06/chart">
            <c:ext xmlns:c16="http://schemas.microsoft.com/office/drawing/2014/chart" uri="{C3380CC4-5D6E-409C-BE32-E72D297353CC}">
              <c16:uniqueId val="{00000001-FC05-4D37-A298-6EEA221BD46D}"/>
            </c:ext>
          </c:extLst>
        </c:ser>
        <c:dLbls>
          <c:showLegendKey val="0"/>
          <c:showVal val="0"/>
          <c:showCatName val="0"/>
          <c:showSerName val="0"/>
          <c:showPercent val="0"/>
          <c:showBubbleSize val="0"/>
        </c:dLbls>
        <c:gapWidth val="150"/>
        <c:axId val="149386240"/>
        <c:axId val="137360448"/>
      </c:barChart>
      <c:catAx>
        <c:axId val="149386240"/>
        <c:scaling>
          <c:orientation val="minMax"/>
        </c:scaling>
        <c:delete val="0"/>
        <c:axPos val="b"/>
        <c:numFmt formatCode="General" sourceLinked="1"/>
        <c:majorTickMark val="out"/>
        <c:minorTickMark val="none"/>
        <c:tickLblPos val="nextTo"/>
        <c:txPr>
          <a:bodyPr rot="0" vert="horz"/>
          <a:lstStyle/>
          <a:p>
            <a:pPr>
              <a:defRPr/>
            </a:pPr>
            <a:endParaRPr lang="bg-BG"/>
          </a:p>
        </c:txPr>
        <c:crossAx val="137360448"/>
        <c:crosses val="autoZero"/>
        <c:auto val="1"/>
        <c:lblAlgn val="ctr"/>
        <c:lblOffset val="100"/>
        <c:noMultiLvlLbl val="0"/>
      </c:catAx>
      <c:valAx>
        <c:axId val="137360448"/>
        <c:scaling>
          <c:orientation val="minMax"/>
        </c:scaling>
        <c:delete val="1"/>
        <c:axPos val="l"/>
        <c:majorGridlines/>
        <c:numFmt formatCode="General" sourceLinked="1"/>
        <c:majorTickMark val="out"/>
        <c:minorTickMark val="none"/>
        <c:tickLblPos val="nextTo"/>
        <c:crossAx val="149386240"/>
        <c:crosses val="autoZero"/>
        <c:crossBetween val="between"/>
      </c:valAx>
    </c:plotArea>
    <c:plotVisOnly val="1"/>
    <c:dispBlanksAs val="gap"/>
    <c:showDLblsOverMax val="0"/>
  </c:chart>
  <c:spPr>
    <a:solidFill>
      <a:srgbClr val="ECF3FA"/>
    </a:solidFill>
  </c:spPr>
  <c:txPr>
    <a:bodyPr/>
    <a:lstStyle/>
    <a:p>
      <a:pPr>
        <a:defRPr sz="9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bg-BG"/>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bg-BG"/>
              <a:t>ПОТРЕБИТЕЛИ</a:t>
            </a:r>
          </a:p>
        </c:rich>
      </c:tx>
      <c:overlay val="0"/>
    </c:title>
    <c:autoTitleDeleted val="0"/>
    <c:plotArea>
      <c:layout/>
      <c:barChart>
        <c:barDir val="col"/>
        <c:grouping val="clustered"/>
        <c:varyColors val="0"/>
        <c:ser>
          <c:idx val="0"/>
          <c:order val="0"/>
          <c:tx>
            <c:strRef>
              <c:f>Sheet1!$E$24</c:f>
              <c:strCache>
                <c:ptCount val="1"/>
                <c:pt idx="0">
                  <c:v>ПОТРЕБИТЕЛИ</c:v>
                </c:pt>
              </c:strCache>
            </c:strRef>
          </c:tx>
          <c:spPr>
            <a:solidFill>
              <a:srgbClr val="ED7A2B"/>
            </a:solidFill>
            <a:scene3d>
              <a:camera prst="orthographicFront"/>
              <a:lightRig rig="threePt" dir="t"/>
            </a:scene3d>
            <a:sp3d>
              <a:bevelT prst="angle"/>
            </a:sp3d>
          </c:spPr>
          <c:invertIfNegative val="0"/>
          <c:dLbls>
            <c:spPr>
              <a:noFill/>
              <a:ln w="25399">
                <a:noFill/>
              </a:ln>
            </c:spPr>
            <c:txPr>
              <a:bodyPr/>
              <a:lstStyle/>
              <a:p>
                <a:pPr>
                  <a:defRPr sz="1000"/>
                </a:pPr>
                <a:endParaRPr lang="bg-BG"/>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Sheet1!$D$25:$D$28</c:f>
              <c:strCache>
                <c:ptCount val="4"/>
                <c:pt idx="0">
                  <c:v>2015</c:v>
                </c:pt>
                <c:pt idx="1">
                  <c:v>2016 до 30.04.2016</c:v>
                </c:pt>
                <c:pt idx="2">
                  <c:v>2016-2020 към 31.12.2017</c:v>
                </c:pt>
                <c:pt idx="3">
                  <c:v>към 31.12.2018</c:v>
                </c:pt>
              </c:strCache>
            </c:strRef>
          </c:cat>
          <c:val>
            <c:numRef>
              <c:f>Sheet1!$E$25:$E$28</c:f>
              <c:numCache>
                <c:formatCode>General</c:formatCode>
                <c:ptCount val="4"/>
                <c:pt idx="0">
                  <c:v>8291</c:v>
                </c:pt>
                <c:pt idx="1">
                  <c:v>34233</c:v>
                </c:pt>
                <c:pt idx="2">
                  <c:v>43719</c:v>
                </c:pt>
                <c:pt idx="3">
                  <c:v>50917</c:v>
                </c:pt>
              </c:numCache>
            </c:numRef>
          </c:val>
          <c:extLst xmlns:c16r2="http://schemas.microsoft.com/office/drawing/2015/06/chart">
            <c:ext xmlns:c16="http://schemas.microsoft.com/office/drawing/2014/chart" uri="{C3380CC4-5D6E-409C-BE32-E72D297353CC}">
              <c16:uniqueId val="{00000000-A96D-4295-8295-A723C7AA19FE}"/>
            </c:ext>
          </c:extLst>
        </c:ser>
        <c:dLbls>
          <c:showLegendKey val="0"/>
          <c:showVal val="0"/>
          <c:showCatName val="0"/>
          <c:showSerName val="0"/>
          <c:showPercent val="0"/>
          <c:showBubbleSize val="0"/>
        </c:dLbls>
        <c:gapWidth val="150"/>
        <c:axId val="137438208"/>
        <c:axId val="137359296"/>
      </c:barChart>
      <c:catAx>
        <c:axId val="137438208"/>
        <c:scaling>
          <c:orientation val="minMax"/>
        </c:scaling>
        <c:delete val="0"/>
        <c:axPos val="b"/>
        <c:numFmt formatCode="General" sourceLinked="1"/>
        <c:majorTickMark val="out"/>
        <c:minorTickMark val="none"/>
        <c:tickLblPos val="nextTo"/>
        <c:txPr>
          <a:bodyPr rot="0" vert="horz"/>
          <a:lstStyle/>
          <a:p>
            <a:pPr>
              <a:defRPr sz="900"/>
            </a:pPr>
            <a:endParaRPr lang="bg-BG"/>
          </a:p>
        </c:txPr>
        <c:crossAx val="137359296"/>
        <c:crosses val="autoZero"/>
        <c:auto val="1"/>
        <c:lblAlgn val="ctr"/>
        <c:lblOffset val="100"/>
        <c:noMultiLvlLbl val="0"/>
      </c:catAx>
      <c:valAx>
        <c:axId val="137359296"/>
        <c:scaling>
          <c:orientation val="minMax"/>
        </c:scaling>
        <c:delete val="1"/>
        <c:axPos val="l"/>
        <c:majorGridlines>
          <c:spPr>
            <a:ln w="3175"/>
          </c:spPr>
        </c:majorGridlines>
        <c:numFmt formatCode="General" sourceLinked="1"/>
        <c:majorTickMark val="out"/>
        <c:minorTickMark val="none"/>
        <c:tickLblPos val="nextTo"/>
        <c:crossAx val="137438208"/>
        <c:crosses val="autoZero"/>
        <c:crossBetween val="between"/>
      </c:valAx>
    </c:plotArea>
    <c:plotVisOnly val="1"/>
    <c:dispBlanksAs val="gap"/>
    <c:showDLblsOverMax val="0"/>
  </c:chart>
  <c:spPr>
    <a:solidFill>
      <a:srgbClr val="FEF6F0"/>
    </a:solidFill>
    <a:ln>
      <a:solidFill>
        <a:srgbClr val="ED7D31">
          <a:lumMod val="75000"/>
        </a:srgbClr>
      </a:solidFill>
    </a:ln>
  </c:spPr>
  <c:txPr>
    <a:bodyPr/>
    <a:lstStyle/>
    <a:p>
      <a:pPr>
        <a:defRPr sz="10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bg-BG"/>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E2F6F-0027-4A2E-BA32-A780036F4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2149</TotalTime>
  <Pages>86</Pages>
  <Words>35564</Words>
  <Characters>202718</Characters>
  <Application>Microsoft Office Word</Application>
  <DocSecurity>0</DocSecurity>
  <Lines>1689</Lines>
  <Paragraphs>475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Georgi Barkashki</dc:creator>
  <cp:keywords/>
  <dc:description/>
  <cp:lastModifiedBy>Georgi Barkashki</cp:lastModifiedBy>
  <cp:revision>76</cp:revision>
  <cp:lastPrinted>2019-12-10T08:34:00Z</cp:lastPrinted>
  <dcterms:created xsi:type="dcterms:W3CDTF">2019-11-18T09:28:00Z</dcterms:created>
  <dcterms:modified xsi:type="dcterms:W3CDTF">2019-12-10T12:39:00Z</dcterms:modified>
</cp:coreProperties>
</file>