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27"/>
      </w:tblGrid>
      <w:tr w:rsidR="00F44A7A" w:rsidTr="00F44A7A">
        <w:tc>
          <w:tcPr>
            <w:tcW w:w="9127" w:type="dxa"/>
          </w:tcPr>
          <w:p w:rsidR="00F44A7A" w:rsidRPr="00720F35" w:rsidRDefault="00F44A7A" w:rsidP="00F44A7A">
            <w:pPr>
              <w:pStyle w:val="s0"/>
              <w:spacing w:before="1920" w:after="120"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ADMINISTRATIVE ARRANGEMENT</w:t>
            </w:r>
          </w:p>
          <w:p w:rsidR="00F44A7A" w:rsidRPr="00720F35" w:rsidRDefault="00F44A7A" w:rsidP="00F44A7A">
            <w:pPr>
              <w:pStyle w:val="s0"/>
              <w:spacing w:before="120" w:after="120"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 xml:space="preserve">FOR THE IMPLEMENTATION OF </w:t>
            </w:r>
          </w:p>
          <w:p w:rsidR="00F44A7A" w:rsidRPr="00720F35" w:rsidRDefault="00F44A7A" w:rsidP="00F44A7A">
            <w:pPr>
              <w:pStyle w:val="s0"/>
              <w:spacing w:before="120" w:after="120"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THE AGREEMENT ON SOCIAL  SECURITY</w:t>
            </w:r>
          </w:p>
          <w:p w:rsidR="00F44A7A" w:rsidRPr="00720F35" w:rsidRDefault="00F44A7A" w:rsidP="00F44A7A">
            <w:pPr>
              <w:pStyle w:val="s0"/>
              <w:spacing w:before="120" w:after="120"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 xml:space="preserve">BETWEEN </w:t>
            </w:r>
          </w:p>
          <w:p w:rsidR="00F44A7A" w:rsidRPr="00720F35" w:rsidRDefault="00F44A7A" w:rsidP="00F44A7A">
            <w:pPr>
              <w:pStyle w:val="s0"/>
              <w:spacing w:before="120" w:after="120"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THE REPUBLIC OF  BULGARIA  AND THE REPUBLIC OF  TUNISIA</w:t>
            </w:r>
          </w:p>
          <w:p w:rsidR="00F44A7A" w:rsidRPr="00720F35" w:rsidRDefault="00F44A7A" w:rsidP="00F44A7A">
            <w:pPr>
              <w:pStyle w:val="s0"/>
              <w:spacing w:line="360" w:lineRule="auto"/>
              <w:jc w:val="center"/>
              <w:rPr>
                <w:rFonts w:ascii="Times New Roman" w:hAnsi="Times New Roman"/>
                <w:spacing w:val="-10"/>
                <w:kern w:val="2"/>
                <w:lang w:val="en-GB"/>
              </w:rPr>
            </w:pPr>
          </w:p>
          <w:p w:rsidR="00F44A7A" w:rsidRPr="00720F35" w:rsidRDefault="00F44A7A" w:rsidP="00F44A7A">
            <w:pPr>
              <w:pStyle w:val="s0"/>
              <w:spacing w:line="360" w:lineRule="auto"/>
              <w:jc w:val="center"/>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Default="00F44A7A" w:rsidP="00F44A7A">
            <w:pPr>
              <w:pStyle w:val="s0"/>
              <w:spacing w:line="360" w:lineRule="auto"/>
              <w:jc w:val="both"/>
              <w:rPr>
                <w:rFonts w:ascii="Times New Roman" w:hAnsi="Times New Roman"/>
                <w:spacing w:val="-10"/>
                <w:kern w:val="2"/>
                <w:lang w:val="en-GB"/>
              </w:rPr>
            </w:pPr>
          </w:p>
          <w:p w:rsidR="00F44A7A" w:rsidRPr="00720F35" w:rsidRDefault="00F44A7A" w:rsidP="00F44A7A">
            <w:pPr>
              <w:pStyle w:val="s0"/>
              <w:spacing w:line="360" w:lineRule="auto"/>
              <w:jc w:val="both"/>
              <w:rPr>
                <w:rFonts w:ascii="Times New Roman" w:hAnsi="Times New Roman"/>
                <w:spacing w:val="-10"/>
                <w:kern w:val="2"/>
                <w:lang w:val="en-GB"/>
              </w:rPr>
            </w:pPr>
            <w:r w:rsidRPr="00720F35">
              <w:rPr>
                <w:rFonts w:ascii="Times New Roman" w:hAnsi="Times New Roman"/>
                <w:spacing w:val="-10"/>
                <w:kern w:val="2"/>
                <w:lang w:val="en-GB"/>
              </w:rPr>
              <w:lastRenderedPageBreak/>
              <w:t>In conformity with paragraph 1 of Article 17 of the Agreement on Social Security between the Republic of Bulgaria and the Republic of Tunisia</w:t>
            </w:r>
            <w:r>
              <w:rPr>
                <w:rFonts w:ascii="Times New Roman" w:hAnsi="Times New Roman"/>
                <w:spacing w:val="-10"/>
                <w:kern w:val="2"/>
                <w:lang w:val="bg-BG"/>
              </w:rPr>
              <w:t xml:space="preserve">, </w:t>
            </w:r>
            <w:r>
              <w:rPr>
                <w:rFonts w:ascii="Times New Roman" w:hAnsi="Times New Roman"/>
                <w:spacing w:val="-10"/>
                <w:kern w:val="2"/>
              </w:rPr>
              <w:t xml:space="preserve">signed </w:t>
            </w:r>
            <w:r w:rsidRPr="00781BDE">
              <w:rPr>
                <w:rFonts w:ascii="Times New Roman" w:hAnsi="Times New Roman"/>
                <w:spacing w:val="-10"/>
                <w:kern w:val="2"/>
                <w:lang w:val="en-GB"/>
              </w:rPr>
              <w:t>on 1</w:t>
            </w:r>
            <w:r w:rsidRPr="00781BDE">
              <w:rPr>
                <w:rFonts w:ascii="Times New Roman" w:hAnsi="Times New Roman"/>
                <w:spacing w:val="-10"/>
                <w:kern w:val="2"/>
                <w:vertAlign w:val="superscript"/>
                <w:lang w:val="en-GB"/>
              </w:rPr>
              <w:t>st</w:t>
            </w:r>
            <w:r w:rsidRPr="00781BDE">
              <w:rPr>
                <w:rFonts w:ascii="Times New Roman" w:hAnsi="Times New Roman"/>
                <w:spacing w:val="-10"/>
                <w:kern w:val="2"/>
                <w:lang w:val="en-GB"/>
              </w:rPr>
              <w:t xml:space="preserve"> October 2015 at </w:t>
            </w:r>
            <w:r w:rsidRPr="00781BDE">
              <w:rPr>
                <w:rFonts w:ascii="Times New Roman" w:hAnsi="Times New Roman"/>
                <w:spacing w:val="-10"/>
                <w:kern w:val="2"/>
                <w:lang w:val="fr-FR"/>
              </w:rPr>
              <w:t>Tunis</w:t>
            </w:r>
            <w:r>
              <w:rPr>
                <w:rFonts w:ascii="Times New Roman" w:hAnsi="Times New Roman"/>
                <w:spacing w:val="-10"/>
                <w:kern w:val="2"/>
                <w:lang w:val="fr-FR"/>
              </w:rPr>
              <w:t xml:space="preserve"> </w:t>
            </w:r>
            <w:r w:rsidRPr="00720F35">
              <w:rPr>
                <w:rFonts w:ascii="Times New Roman" w:hAnsi="Times New Roman"/>
                <w:spacing w:val="-10"/>
                <w:kern w:val="2"/>
                <w:lang w:val="en-GB"/>
              </w:rPr>
              <w:t xml:space="preserve"> (hereinafter referred to as the "Agreement"), the competent authorities of the Contracting Parties have agreed as follows:</w:t>
            </w:r>
          </w:p>
          <w:p w:rsidR="00F44A7A" w:rsidRPr="00720F35" w:rsidRDefault="00F44A7A" w:rsidP="00F44A7A">
            <w:pPr>
              <w:wordWrap/>
              <w:spacing w:line="360" w:lineRule="auto"/>
              <w:rPr>
                <w:rFonts w:ascii="Times New Roman"/>
                <w:b/>
                <w:spacing w:val="-10"/>
                <w:sz w:val="24"/>
                <w:szCs w:val="24"/>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PART I</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General provisions</w:t>
            </w:r>
          </w:p>
          <w:p w:rsidR="00F44A7A" w:rsidRPr="00720F35" w:rsidRDefault="00F44A7A" w:rsidP="00F44A7A">
            <w:pPr>
              <w:pStyle w:val="s0"/>
              <w:spacing w:line="360" w:lineRule="auto"/>
              <w:jc w:val="center"/>
              <w:rPr>
                <w:rFonts w:ascii="Times New Roman" w:hAnsi="Times New Roman"/>
                <w:b/>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Article 1</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Definitions</w:t>
            </w:r>
          </w:p>
          <w:p w:rsidR="00F44A7A" w:rsidRPr="00720F35" w:rsidRDefault="00F44A7A" w:rsidP="00F44A7A">
            <w:pPr>
              <w:wordWrap/>
              <w:spacing w:line="360" w:lineRule="auto"/>
              <w:rPr>
                <w:rFonts w:ascii="Times New Roman"/>
                <w:spacing w:val="-10"/>
                <w:sz w:val="24"/>
                <w:szCs w:val="24"/>
                <w:lang w:val="en-GB"/>
              </w:rPr>
            </w:pPr>
            <w:r w:rsidRPr="00720F35">
              <w:rPr>
                <w:rFonts w:ascii="Times New Roman"/>
                <w:spacing w:val="-10"/>
                <w:sz w:val="24"/>
                <w:szCs w:val="24"/>
                <w:lang w:val="en-GB"/>
              </w:rPr>
              <w:t>The terms used in this Administrative Arrangement shall have the same meaning as in the Agreement.</w:t>
            </w:r>
          </w:p>
          <w:p w:rsidR="00F44A7A" w:rsidRPr="00720F35" w:rsidRDefault="00F44A7A" w:rsidP="00F44A7A">
            <w:pPr>
              <w:wordWrap/>
              <w:spacing w:line="360" w:lineRule="auto"/>
              <w:rPr>
                <w:rFonts w:ascii="Times New Roman"/>
                <w:spacing w:val="-10"/>
                <w:sz w:val="24"/>
                <w:szCs w:val="24"/>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Article 2</w:t>
            </w:r>
          </w:p>
          <w:p w:rsidR="00F44A7A" w:rsidRPr="00720F35" w:rsidRDefault="00F44A7A" w:rsidP="00F44A7A">
            <w:pPr>
              <w:pStyle w:val="s0"/>
              <w:spacing w:after="120"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Institutions and Competent institutions</w:t>
            </w:r>
          </w:p>
          <w:p w:rsidR="00F44A7A" w:rsidRPr="00720F35" w:rsidRDefault="00F44A7A" w:rsidP="00F44A7A">
            <w:pPr>
              <w:pStyle w:val="s0"/>
              <w:spacing w:line="360" w:lineRule="auto"/>
              <w:jc w:val="both"/>
              <w:rPr>
                <w:rFonts w:ascii="Times New Roman" w:hAnsi="Times New Roman"/>
                <w:spacing w:val="-10"/>
                <w:kern w:val="2"/>
                <w:lang w:val="en-GB"/>
              </w:rPr>
            </w:pPr>
            <w:r w:rsidRPr="00720F35">
              <w:rPr>
                <w:rFonts w:ascii="Times New Roman" w:hAnsi="Times New Roman"/>
                <w:spacing w:val="-10"/>
                <w:kern w:val="2"/>
                <w:lang w:val="en-GB"/>
              </w:rPr>
              <w:t>1. The institutions and competent institutions referred to in paragraph 2 of Article 17 of the Agreement shall be:</w:t>
            </w:r>
          </w:p>
          <w:p w:rsidR="00F44A7A" w:rsidRPr="00720F35" w:rsidRDefault="00F44A7A" w:rsidP="00F44A7A">
            <w:pPr>
              <w:wordWrap/>
              <w:spacing w:line="360" w:lineRule="auto"/>
              <w:ind w:firstLineChars="100" w:firstLine="230"/>
              <w:rPr>
                <w:rFonts w:ascii="Times New Roman"/>
                <w:spacing w:val="-10"/>
                <w:sz w:val="24"/>
                <w:lang w:val="en-GB"/>
              </w:rPr>
            </w:pPr>
            <w:r w:rsidRPr="00720F35">
              <w:rPr>
                <w:rFonts w:ascii="Times New Roman"/>
                <w:spacing w:val="-10"/>
                <w:sz w:val="24"/>
                <w:lang w:val="en-GB"/>
              </w:rPr>
              <w:t>(a) for Bulgaria:</w:t>
            </w:r>
          </w:p>
          <w:p w:rsidR="00F44A7A" w:rsidRPr="00720F35" w:rsidRDefault="00F44A7A" w:rsidP="00F44A7A">
            <w:pPr>
              <w:pStyle w:val="BodyTextIndent"/>
              <w:ind w:firstLineChars="185" w:firstLine="425"/>
            </w:pPr>
            <w:r w:rsidRPr="00720F35">
              <w:t>(i)  the National Social Insurance Institute - in reference to the pensions, indicated in paragraph 1 (a) of Article 2 of the Agreement;</w:t>
            </w:r>
          </w:p>
          <w:p w:rsidR="00F44A7A" w:rsidRPr="00720F35" w:rsidRDefault="00F44A7A" w:rsidP="00F44A7A">
            <w:pPr>
              <w:wordWrap/>
              <w:spacing w:line="360" w:lineRule="auto"/>
              <w:ind w:firstLineChars="185" w:firstLine="425"/>
              <w:rPr>
                <w:rFonts w:ascii="Times New Roman"/>
                <w:spacing w:val="-10"/>
                <w:sz w:val="24"/>
                <w:szCs w:val="24"/>
                <w:lang w:val="en-GB"/>
              </w:rPr>
            </w:pPr>
            <w:r w:rsidRPr="00720F35">
              <w:rPr>
                <w:rFonts w:ascii="Times New Roman"/>
                <w:spacing w:val="-10"/>
                <w:sz w:val="24"/>
                <w:szCs w:val="24"/>
                <w:lang w:val="en-GB"/>
              </w:rPr>
              <w:t>(ii)  the National Revenue Agency – in reference to the provisions of Part II of the Agreement;</w:t>
            </w:r>
          </w:p>
          <w:p w:rsidR="00F44A7A" w:rsidRPr="00720F35" w:rsidRDefault="00F44A7A" w:rsidP="00F44A7A">
            <w:pPr>
              <w:pStyle w:val="s0"/>
              <w:spacing w:after="120" w:line="360" w:lineRule="auto"/>
              <w:ind w:firstLineChars="100" w:firstLine="230"/>
              <w:rPr>
                <w:rFonts w:ascii="Times New Roman"/>
                <w:spacing w:val="-10"/>
                <w:lang w:val="en-GB"/>
              </w:rPr>
            </w:pPr>
            <w:r w:rsidRPr="00720F35">
              <w:rPr>
                <w:rFonts w:ascii="Times New Roman" w:hAnsi="Times New Roman"/>
                <w:spacing w:val="-10"/>
                <w:kern w:val="2"/>
                <w:lang w:val="en-GB"/>
              </w:rPr>
              <w:t xml:space="preserve">(b) </w:t>
            </w:r>
            <w:r w:rsidRPr="00720F35">
              <w:rPr>
                <w:rFonts w:ascii="Times New Roman"/>
                <w:spacing w:val="-10"/>
                <w:lang w:val="en-GB"/>
              </w:rPr>
              <w:t>for Tunisia:</w:t>
            </w:r>
          </w:p>
          <w:p w:rsidR="00F44A7A" w:rsidRPr="00720F35" w:rsidRDefault="00F44A7A" w:rsidP="00F44A7A">
            <w:pPr>
              <w:pStyle w:val="s0"/>
              <w:spacing w:after="120" w:line="360" w:lineRule="auto"/>
              <w:ind w:firstLineChars="185" w:firstLine="425"/>
              <w:rPr>
                <w:rFonts w:ascii="Times New Roman"/>
                <w:spacing w:val="-10"/>
                <w:lang w:val="en-GB"/>
              </w:rPr>
            </w:pPr>
            <w:r w:rsidRPr="00720F35">
              <w:rPr>
                <w:rFonts w:ascii="Times New Roman"/>
                <w:spacing w:val="-10"/>
                <w:lang w:val="en-GB"/>
              </w:rPr>
              <w:t>(i) The National Social Security Fund in reference to the invalidity pensions, old age pensions and survivors</w:t>
            </w:r>
            <w:r w:rsidRPr="00720F35">
              <w:rPr>
                <w:rFonts w:ascii="Times New Roman"/>
                <w:spacing w:val="-10"/>
                <w:lang w:val="en-GB"/>
              </w:rPr>
              <w:t>’</w:t>
            </w:r>
            <w:r w:rsidRPr="00720F35">
              <w:rPr>
                <w:rFonts w:ascii="Times New Roman"/>
                <w:spacing w:val="-10"/>
                <w:lang w:val="en-GB"/>
              </w:rPr>
              <w:t xml:space="preserve"> pensions, in the private sector, indicated in paragraph 1 (b) of Article 2 of the Agreement;</w:t>
            </w:r>
          </w:p>
          <w:p w:rsidR="00F44A7A" w:rsidRPr="00720F35" w:rsidRDefault="00F44A7A" w:rsidP="00F44A7A">
            <w:pPr>
              <w:pStyle w:val="s0"/>
              <w:spacing w:after="120" w:line="360" w:lineRule="auto"/>
              <w:ind w:firstLineChars="185" w:firstLine="425"/>
              <w:rPr>
                <w:rFonts w:ascii="Times New Roman" w:hAnsi="Times New Roman"/>
                <w:spacing w:val="-10"/>
                <w:kern w:val="2"/>
                <w:lang w:val="en-GB"/>
              </w:rPr>
            </w:pPr>
            <w:r w:rsidRPr="00720F35">
              <w:rPr>
                <w:rFonts w:ascii="Times New Roman"/>
                <w:spacing w:val="-10"/>
                <w:lang w:val="en-GB"/>
              </w:rPr>
              <w:t xml:space="preserve">(ii) The National Retirement and Social Providence Fund in reference to the civil servants (public sector) for the benefits indicated in paragraph 1 (b) of Article 2 of the Agreement. </w:t>
            </w:r>
          </w:p>
          <w:p w:rsidR="00F44A7A" w:rsidRPr="00720F35" w:rsidRDefault="00F44A7A" w:rsidP="00F44A7A">
            <w:pPr>
              <w:wordWrap/>
              <w:spacing w:line="360" w:lineRule="auto"/>
              <w:rPr>
                <w:rFonts w:ascii="Times New Roman"/>
                <w:spacing w:val="-10"/>
                <w:sz w:val="24"/>
                <w:szCs w:val="24"/>
                <w:lang w:val="en-GB"/>
              </w:rPr>
            </w:pPr>
            <w:r w:rsidRPr="00720F35">
              <w:rPr>
                <w:rFonts w:ascii="Times New Roman"/>
                <w:spacing w:val="-10"/>
                <w:sz w:val="24"/>
                <w:szCs w:val="24"/>
                <w:lang w:val="en-GB"/>
              </w:rPr>
              <w:t>2. The institutions and competent institutions</w:t>
            </w:r>
            <w:r w:rsidRPr="00720F35">
              <w:rPr>
                <w:rFonts w:ascii="Times New Roman"/>
                <w:spacing w:val="-10"/>
                <w:lang w:val="en-GB"/>
              </w:rPr>
              <w:t xml:space="preserve"> </w:t>
            </w:r>
            <w:r w:rsidRPr="00720F35">
              <w:rPr>
                <w:rFonts w:ascii="Times New Roman"/>
                <w:spacing w:val="-10"/>
                <w:sz w:val="24"/>
                <w:szCs w:val="24"/>
                <w:lang w:val="en-GB"/>
              </w:rPr>
              <w:t>designated in paragraph 1 shall agree upon the joint procedures and forms and other communications necessary for the implementation of the Agreement and this Administrative Arrangement.</w:t>
            </w:r>
          </w:p>
          <w:p w:rsidR="00F44A7A" w:rsidRPr="00815C09" w:rsidRDefault="00F44A7A" w:rsidP="00F44A7A">
            <w:pPr>
              <w:pStyle w:val="s0"/>
              <w:spacing w:line="360" w:lineRule="auto"/>
              <w:jc w:val="center"/>
              <w:rPr>
                <w:rFonts w:ascii="Times New Roman" w:hAnsi="Times New Roman"/>
                <w:b/>
                <w:spacing w:val="-10"/>
                <w:kern w:val="2"/>
                <w:lang w:val="bg-BG"/>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PART II</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Provisions on applicable legislation</w:t>
            </w:r>
          </w:p>
          <w:p w:rsidR="00F44A7A" w:rsidRPr="00720F35" w:rsidRDefault="00F44A7A" w:rsidP="00F44A7A">
            <w:pPr>
              <w:pStyle w:val="s0"/>
              <w:spacing w:line="360" w:lineRule="auto"/>
              <w:jc w:val="center"/>
              <w:rPr>
                <w:rFonts w:ascii="Times New Roman" w:hAnsi="Times New Roman"/>
                <w:b/>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lastRenderedPageBreak/>
              <w:t>Article 3</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Certificate of Coverage</w:t>
            </w:r>
          </w:p>
          <w:p w:rsidR="00F44A7A" w:rsidRPr="0066621C" w:rsidRDefault="00F44A7A" w:rsidP="00F44A7A">
            <w:pPr>
              <w:numPr>
                <w:ilvl w:val="0"/>
                <w:numId w:val="3"/>
              </w:numPr>
              <w:tabs>
                <w:tab w:val="clear" w:pos="720"/>
                <w:tab w:val="num" w:pos="360"/>
              </w:tabs>
              <w:wordWrap/>
              <w:spacing w:before="120" w:after="120" w:line="360" w:lineRule="auto"/>
              <w:ind w:left="0" w:firstLine="0"/>
              <w:rPr>
                <w:rFonts w:ascii="Times New Roman"/>
                <w:spacing w:val="-10"/>
                <w:sz w:val="24"/>
                <w:szCs w:val="24"/>
                <w:lang w:val="en-GB"/>
              </w:rPr>
            </w:pPr>
            <w:r w:rsidRPr="00720F35">
              <w:rPr>
                <w:rFonts w:ascii="Times New Roman"/>
                <w:spacing w:val="-10"/>
                <w:sz w:val="24"/>
                <w:szCs w:val="24"/>
                <w:lang w:val="en-GB"/>
              </w:rPr>
              <w:t>Where the legislation of a Contracting Party is applicable in accordance with any of the provisions of Articles 6 (except paragraph 1), Article 7, Article 8</w:t>
            </w:r>
            <w:proofErr w:type="gramStart"/>
            <w:r w:rsidRPr="00720F35">
              <w:rPr>
                <w:rFonts w:ascii="Times New Roman"/>
                <w:spacing w:val="-10"/>
                <w:sz w:val="24"/>
                <w:szCs w:val="24"/>
                <w:lang w:val="en-GB"/>
              </w:rPr>
              <w:t>,  paragraph</w:t>
            </w:r>
            <w:proofErr w:type="gramEnd"/>
            <w:r w:rsidRPr="00720F35">
              <w:rPr>
                <w:rFonts w:ascii="Times New Roman"/>
                <w:spacing w:val="-10"/>
                <w:sz w:val="24"/>
                <w:szCs w:val="24"/>
                <w:lang w:val="en-GB"/>
              </w:rPr>
              <w:t xml:space="preserve"> 3 of Article 9 and Article 10  of the Agreement, an institution of that Contracting Party shall issue upon request a certificate stating that the employee or self-employed person, as the case may be, remain subject to that legislation. This certificate shall be proof that they are exempt from the social security liabilities of the other Contracting Party in so far as the material scope of the Agreement provides. </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2.  For the purposes of implementation of paragraphs 2 to 3 of Article 6 of the Agreement, the certificate referred to in paragraph 1 shall be issued at the request of the employee and/or his employer or self-employed person.</w:t>
            </w:r>
          </w:p>
          <w:p w:rsidR="00F44A7A" w:rsidRPr="00720F35" w:rsidRDefault="00F44A7A" w:rsidP="00F44A7A">
            <w:pPr>
              <w:wordWrap/>
              <w:spacing w:before="120" w:after="120" w:line="360" w:lineRule="auto"/>
              <w:rPr>
                <w:rFonts w:ascii="Times New Roman"/>
                <w:spacing w:val="-10"/>
                <w:sz w:val="24"/>
                <w:szCs w:val="24"/>
                <w:lang w:val="en-GB"/>
              </w:rPr>
            </w:pPr>
            <w:r w:rsidRPr="00720F35">
              <w:rPr>
                <w:rFonts w:ascii="Times New Roman"/>
                <w:spacing w:val="-10"/>
                <w:sz w:val="24"/>
                <w:szCs w:val="24"/>
                <w:lang w:val="en-GB"/>
              </w:rPr>
              <w:t>3.  For the purposes of implementation of paragraph 4 of Article 6, Article 7, paragraph 2 of Article 8 and paragraph 1 of Article 9 of the Agreement concerning private house workers, the certificate under paragraph 1 shall be issued at the request of the employee and/or his employer.</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 xml:space="preserve"> 4.  For the purposes of implementation of Article 10 of the Agreement, in cases where the competent authority or institution of the Contracting Party, whose legislation remains applicable, has no objections against the joint request of the employee and his employer or the self-employed person, it shall seek in writing the consent of the institution of the other Contracting Party. The institution of the first Contracting Party shall issue the certificate, referred to in paragraph 1, provided that the institution of the other Contracting Party shall give its consent in writing. </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 xml:space="preserve"> 5. For the purposes of implementation of paragraph 3 of Article 9 of the Agreement, the certificate under paragraph 1 shall be issued by the institution of the Contracting Party, whose legislation has been chosen at the request of the insured person exercising the right to choose that legislation.</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6. The certificate referred to in paragraph 1 shall be issued:</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 xml:space="preserve">    (a) in Bulgaria: by the National Revenue Agency;</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 xml:space="preserve">    (b) in Tunisia: </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 xml:space="preserve"> -  for the employed persons and self-employed persons in the private sector - by the National Social Security Fund;</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  for the civil servants in the public sector - by the National Retirement and Social Providence Fund</w:t>
            </w:r>
          </w:p>
          <w:p w:rsidR="00F44A7A" w:rsidRPr="00720F35" w:rsidRDefault="00F44A7A" w:rsidP="00815C09">
            <w:pPr>
              <w:widowControl/>
              <w:wordWrap/>
              <w:adjustRightInd w:val="0"/>
              <w:spacing w:line="360" w:lineRule="auto"/>
              <w:jc w:val="left"/>
              <w:rPr>
                <w:rFonts w:ascii="Times New Roman" w:cs="¹ÙÅÁ"/>
                <w:spacing w:val="-10"/>
                <w:sz w:val="24"/>
                <w:szCs w:val="24"/>
                <w:lang w:val="en-GB"/>
              </w:rPr>
            </w:pPr>
            <w:proofErr w:type="gramStart"/>
            <w:r w:rsidRPr="00720F35">
              <w:rPr>
                <w:rFonts w:ascii="Times New Roman" w:cs="¹ÙÅÁ"/>
                <w:spacing w:val="-10"/>
                <w:sz w:val="24"/>
                <w:szCs w:val="24"/>
                <w:lang w:val="en-GB"/>
              </w:rPr>
              <w:t>7 .</w:t>
            </w:r>
            <w:proofErr w:type="gramEnd"/>
            <w:r w:rsidRPr="00720F35">
              <w:rPr>
                <w:rFonts w:ascii="Times New Roman" w:cs="¹ÙÅÁ"/>
                <w:spacing w:val="-10"/>
                <w:sz w:val="24"/>
                <w:szCs w:val="24"/>
                <w:lang w:val="en-GB"/>
              </w:rPr>
              <w:t xml:space="preserve"> The following authorities and institutions are designated to agree on the exceptions under the </w:t>
            </w:r>
            <w:r w:rsidRPr="00720F35">
              <w:rPr>
                <w:rFonts w:ascii="Times New Roman" w:cs="¹ÙÅÁ"/>
                <w:spacing w:val="-10"/>
                <w:sz w:val="24"/>
                <w:szCs w:val="24"/>
                <w:lang w:val="en-GB"/>
              </w:rPr>
              <w:lastRenderedPageBreak/>
              <w:t>provisions of  paragraph  3, Article 9 and Article 10 of the Agreement,:</w:t>
            </w:r>
          </w:p>
          <w:p w:rsidR="00F44A7A" w:rsidRPr="00720F35" w:rsidRDefault="00F44A7A" w:rsidP="00F44A7A">
            <w:pPr>
              <w:pStyle w:val="s0"/>
              <w:spacing w:before="120" w:after="120" w:line="360" w:lineRule="auto"/>
              <w:ind w:left="142"/>
              <w:jc w:val="both"/>
              <w:rPr>
                <w:rFonts w:ascii="Times New Roman" w:hAnsi="Times New Roman"/>
                <w:spacing w:val="-10"/>
                <w:kern w:val="2"/>
                <w:lang w:val="en-GB"/>
              </w:rPr>
            </w:pPr>
            <w:r w:rsidRPr="00720F35">
              <w:rPr>
                <w:rFonts w:ascii="Times New Roman" w:hAnsi="Times New Roman"/>
                <w:spacing w:val="-10"/>
                <w:kern w:val="2"/>
                <w:lang w:val="en-GB"/>
              </w:rPr>
              <w:t>(a) in Bulgaria: the National Revenue Agency;</w:t>
            </w:r>
          </w:p>
          <w:p w:rsidR="00F44A7A" w:rsidRPr="00720F35" w:rsidRDefault="00F44A7A" w:rsidP="00815C09">
            <w:pPr>
              <w:pStyle w:val="s0"/>
              <w:spacing w:before="120" w:after="120" w:line="360" w:lineRule="auto"/>
              <w:ind w:left="142"/>
              <w:jc w:val="both"/>
              <w:rPr>
                <w:rFonts w:ascii="Times New Roman" w:hAnsi="Times New Roman"/>
                <w:spacing w:val="-10"/>
                <w:kern w:val="2"/>
                <w:lang w:val="en-GB"/>
              </w:rPr>
            </w:pPr>
            <w:r w:rsidRPr="00720F35">
              <w:rPr>
                <w:rFonts w:ascii="Times New Roman" w:hAnsi="Times New Roman"/>
                <w:spacing w:val="-10"/>
                <w:kern w:val="2"/>
                <w:lang w:val="en-GB"/>
              </w:rPr>
              <w:t>(b) in Tunisia : the Ministry of Social Affairs (the Tunisian  Social Security Administration)</w:t>
            </w:r>
          </w:p>
          <w:p w:rsidR="00F44A7A" w:rsidRPr="00720F35" w:rsidRDefault="00F44A7A" w:rsidP="00815C09">
            <w:pPr>
              <w:adjustRightInd w:val="0"/>
              <w:spacing w:line="360" w:lineRule="auto"/>
              <w:rPr>
                <w:rFonts w:ascii="Times New Roman" w:cs="¹ÙÅÁ"/>
                <w:spacing w:val="-10"/>
                <w:sz w:val="24"/>
                <w:szCs w:val="24"/>
                <w:lang w:val="en-GB"/>
              </w:rPr>
            </w:pPr>
            <w:r w:rsidRPr="00720F35">
              <w:rPr>
                <w:rFonts w:ascii="Times New Roman" w:cs="¹ÙÅÁ"/>
                <w:spacing w:val="-10"/>
                <w:sz w:val="24"/>
                <w:szCs w:val="24"/>
                <w:lang w:val="en-GB"/>
              </w:rPr>
              <w:t>8. When applying Article 10 of the Agreement further exemption of the employee or the self-employed person from the legislation of the Contracting State where he or she works shall be granted in accordance with the Article 7 of the Agreement, if the further exemption periods will not exceed 24 months:</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 xml:space="preserve">    (a) in Bulgaria: by the National Revenue Agency;</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 xml:space="preserve">    (b) in Tunisia:  by the Ministry of Social Affairs (the Tunisian  Social Security Administration)</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9. The institutions indicated in paragraph 6 shall furnish each other with a copy of the certificate.</w:t>
            </w:r>
          </w:p>
          <w:p w:rsidR="00F44A7A" w:rsidRPr="00720F35" w:rsidRDefault="00F44A7A" w:rsidP="00F44A7A">
            <w:pPr>
              <w:pStyle w:val="s0"/>
              <w:spacing w:line="360" w:lineRule="auto"/>
              <w:jc w:val="center"/>
              <w:rPr>
                <w:rFonts w:ascii="Times New Roman" w:hAnsi="Times New Roman"/>
                <w:b/>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PART III</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Provisions on Benefits</w:t>
            </w:r>
          </w:p>
          <w:p w:rsidR="00F44A7A" w:rsidRPr="00720F35" w:rsidRDefault="00F44A7A" w:rsidP="00F44A7A">
            <w:pPr>
              <w:pStyle w:val="s0"/>
              <w:spacing w:line="360" w:lineRule="auto"/>
              <w:jc w:val="center"/>
              <w:rPr>
                <w:rFonts w:ascii="Times New Roman" w:hAnsi="Times New Roman"/>
                <w:b/>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Article 4</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Processing a Claim</w:t>
            </w:r>
          </w:p>
          <w:p w:rsidR="00F44A7A" w:rsidRPr="00720F35" w:rsidRDefault="00F44A7A" w:rsidP="008E7382">
            <w:pPr>
              <w:wordWrap/>
              <w:spacing w:after="120" w:line="360" w:lineRule="auto"/>
              <w:rPr>
                <w:rFonts w:ascii="Times New Roman"/>
                <w:spacing w:val="-10"/>
                <w:sz w:val="24"/>
                <w:szCs w:val="24"/>
                <w:lang w:val="en-GB"/>
              </w:rPr>
            </w:pPr>
            <w:r w:rsidRPr="00720F35">
              <w:rPr>
                <w:rFonts w:ascii="Times New Roman"/>
                <w:spacing w:val="-10"/>
                <w:sz w:val="24"/>
                <w:szCs w:val="24"/>
                <w:lang w:val="en-GB"/>
              </w:rPr>
              <w:t>1.  The competent institution of a Contracting Party which receives a claim for benefits payable under the legislation of the other Contracting Party shall note thereon the date of receipt of the claim and shall, without delay, send the claim form to the competent institution of the other Contracting Party.</w:t>
            </w:r>
          </w:p>
          <w:p w:rsidR="00F44A7A" w:rsidRPr="00720F35" w:rsidRDefault="00F44A7A" w:rsidP="008E7382">
            <w:pPr>
              <w:wordWrap/>
              <w:spacing w:after="120" w:line="360" w:lineRule="auto"/>
              <w:rPr>
                <w:rFonts w:ascii="Times New Roman"/>
                <w:spacing w:val="-10"/>
                <w:sz w:val="24"/>
                <w:szCs w:val="24"/>
                <w:lang w:val="en-GB"/>
              </w:rPr>
            </w:pPr>
            <w:r w:rsidRPr="00720F35">
              <w:rPr>
                <w:rFonts w:ascii="Times New Roman"/>
                <w:spacing w:val="-10"/>
                <w:sz w:val="24"/>
                <w:szCs w:val="24"/>
                <w:lang w:val="en-GB"/>
              </w:rPr>
              <w:t>2. Along with the claim form, the competent institution shall also transmit any documentation available to it which may be necessary for the competent institution of the other Contracting Party to establish the claimant’s entitlement to a benefit.</w:t>
            </w:r>
          </w:p>
          <w:p w:rsidR="00F44A7A" w:rsidRPr="00720F35" w:rsidRDefault="00F44A7A" w:rsidP="008E7382">
            <w:pPr>
              <w:wordWrap/>
              <w:spacing w:after="120" w:line="360" w:lineRule="auto"/>
              <w:rPr>
                <w:rFonts w:ascii="Times New Roman"/>
                <w:spacing w:val="-10"/>
                <w:sz w:val="24"/>
                <w:szCs w:val="24"/>
                <w:lang w:val="en-GB"/>
              </w:rPr>
            </w:pPr>
            <w:r w:rsidRPr="00720F35">
              <w:rPr>
                <w:rFonts w:ascii="Times New Roman"/>
                <w:spacing w:val="-10"/>
                <w:sz w:val="24"/>
                <w:szCs w:val="24"/>
                <w:lang w:val="en-GB"/>
              </w:rPr>
              <w:t>3. The personal data regarding an individual contained in the claim form shall be duly certified by the competent institution.  The transmission of the certified form regarding the personal data shall exempt the competent institution from sending the original documents to the other Contracting Party.</w:t>
            </w:r>
          </w:p>
          <w:p w:rsidR="00F44A7A" w:rsidRPr="00720F35" w:rsidRDefault="00F44A7A" w:rsidP="00F44A7A">
            <w:pPr>
              <w:wordWrap/>
              <w:spacing w:line="360" w:lineRule="auto"/>
              <w:rPr>
                <w:rFonts w:ascii="Times New Roman"/>
                <w:spacing w:val="-10"/>
                <w:sz w:val="24"/>
                <w:szCs w:val="24"/>
                <w:lang w:val="en-GB"/>
              </w:rPr>
            </w:pPr>
            <w:r w:rsidRPr="00720F35">
              <w:rPr>
                <w:rFonts w:ascii="Times New Roman"/>
                <w:spacing w:val="-10"/>
                <w:sz w:val="24"/>
                <w:szCs w:val="24"/>
                <w:lang w:val="en-GB"/>
              </w:rPr>
              <w:t>4. Each competent institution shall subsequently determine the claimant’s eligibility to a benefit and notify the other institution of its decision in respect of the claim.</w:t>
            </w:r>
          </w:p>
          <w:p w:rsidR="00F44A7A" w:rsidRPr="00720F35" w:rsidRDefault="00F44A7A" w:rsidP="00F44A7A">
            <w:pPr>
              <w:pStyle w:val="s0"/>
              <w:spacing w:line="360" w:lineRule="auto"/>
              <w:jc w:val="center"/>
              <w:rPr>
                <w:rFonts w:ascii="Times New Roman" w:hAnsi="Times New Roman"/>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PART IV</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Miscellaneous Provisions</w:t>
            </w:r>
          </w:p>
          <w:p w:rsidR="00F44A7A" w:rsidRPr="00720F35" w:rsidRDefault="00F44A7A" w:rsidP="00F44A7A">
            <w:pPr>
              <w:pStyle w:val="s0"/>
              <w:spacing w:line="360" w:lineRule="auto"/>
              <w:jc w:val="center"/>
              <w:rPr>
                <w:rFonts w:ascii="Times New Roman" w:hAnsi="Times New Roman"/>
                <w:b/>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Article 5</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Medical Examination</w:t>
            </w:r>
          </w:p>
          <w:p w:rsidR="00F44A7A" w:rsidRPr="00720F35" w:rsidRDefault="00F44A7A" w:rsidP="008E7382">
            <w:pPr>
              <w:wordWrap/>
              <w:spacing w:after="120" w:line="360" w:lineRule="auto"/>
              <w:rPr>
                <w:rFonts w:ascii="Times New Roman"/>
                <w:spacing w:val="-10"/>
                <w:sz w:val="24"/>
                <w:szCs w:val="24"/>
                <w:lang w:val="en-GB"/>
              </w:rPr>
            </w:pPr>
            <w:r w:rsidRPr="00720F35">
              <w:rPr>
                <w:rFonts w:ascii="Times New Roman"/>
                <w:spacing w:val="-10"/>
                <w:sz w:val="24"/>
                <w:szCs w:val="24"/>
                <w:lang w:val="en-GB"/>
              </w:rPr>
              <w:t>1. Upon request, an institution  of a Contracting Party shall provide to an institution  of the other Contracting Party a medical report concerning the claimant or beneficiary, subject to the rules for personal data protection, and where necessary to the claimants’ signing of a waiver of medical confidentiality.</w:t>
            </w:r>
          </w:p>
          <w:p w:rsidR="00F44A7A" w:rsidRPr="00720F35" w:rsidRDefault="00F44A7A" w:rsidP="008E7382">
            <w:pPr>
              <w:pStyle w:val="s0"/>
              <w:spacing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2. Where the competent institution of a Contracting Party requires that a claimant or beneficiary who stays or resides in the territory of the other Contracting Party shall undergo a further medical examination, such an examination shall be arranged by the institution of the other Contracting Party in accordance with the rules of the institution making the arrangements, and at the expense of the institution which requests the examination.</w:t>
            </w:r>
          </w:p>
          <w:p w:rsidR="00F44A7A" w:rsidRPr="00720F35" w:rsidRDefault="00F44A7A" w:rsidP="00F44A7A">
            <w:pPr>
              <w:pStyle w:val="s0"/>
              <w:spacing w:line="360" w:lineRule="auto"/>
              <w:jc w:val="both"/>
              <w:rPr>
                <w:rFonts w:ascii="Times New Roman" w:hAnsi="Times New Roman"/>
                <w:spacing w:val="-10"/>
                <w:kern w:val="2"/>
                <w:lang w:val="en-GB"/>
              </w:rPr>
            </w:pPr>
            <w:r w:rsidRPr="00720F35">
              <w:rPr>
                <w:rFonts w:ascii="Times New Roman" w:hAnsi="Times New Roman"/>
                <w:spacing w:val="-10"/>
                <w:kern w:val="2"/>
                <w:lang w:val="en-GB"/>
              </w:rPr>
              <w:t>3. The competent institution of a Contracting Party shall reimburse amounts due as a result of applying the provisions of paragraph 2 of this Article, upon receipt of a detailed statement of the costs incurred.</w:t>
            </w:r>
          </w:p>
          <w:p w:rsidR="00F44A7A" w:rsidRPr="00720F35" w:rsidRDefault="00F44A7A" w:rsidP="00F44A7A">
            <w:pPr>
              <w:pStyle w:val="s0"/>
              <w:spacing w:line="360" w:lineRule="auto"/>
              <w:jc w:val="both"/>
              <w:rPr>
                <w:rFonts w:ascii="Times New Roman" w:hAnsi="Times New Roman"/>
                <w:spacing w:val="-10"/>
                <w:kern w:val="2"/>
                <w:lang w:val="en-GB"/>
              </w:rPr>
            </w:pPr>
            <w:r w:rsidRPr="00720F35">
              <w:rPr>
                <w:rFonts w:ascii="Times New Roman" w:hAnsi="Times New Roman"/>
                <w:spacing w:val="-10"/>
                <w:kern w:val="2"/>
                <w:lang w:val="en-GB"/>
              </w:rPr>
              <w:t xml:space="preserve"> The reimbursement shall be made within three months following the date of receipt of a detailed statement of the costs incurred.</w:t>
            </w:r>
          </w:p>
          <w:p w:rsidR="00F44A7A" w:rsidRPr="00720F35" w:rsidRDefault="00F44A7A" w:rsidP="00F44A7A">
            <w:pPr>
              <w:pStyle w:val="s0"/>
              <w:spacing w:line="360" w:lineRule="auto"/>
              <w:jc w:val="center"/>
              <w:rPr>
                <w:rFonts w:ascii="Times New Roman" w:hAnsi="Times New Roman"/>
                <w:b/>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Article 6</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Administrative Assistance</w:t>
            </w:r>
          </w:p>
          <w:p w:rsidR="00F44A7A" w:rsidRPr="00720F35" w:rsidRDefault="00F44A7A" w:rsidP="00F44A7A">
            <w:pPr>
              <w:pStyle w:val="s0"/>
              <w:spacing w:line="360" w:lineRule="auto"/>
              <w:jc w:val="center"/>
              <w:rPr>
                <w:rFonts w:ascii="Times New Roman" w:hAnsi="Times New Roman"/>
                <w:spacing w:val="-10"/>
                <w:kern w:val="2"/>
                <w:lang w:val="en-GB"/>
              </w:rPr>
            </w:pPr>
          </w:p>
          <w:p w:rsidR="00F44A7A" w:rsidRPr="00720F35" w:rsidRDefault="00F44A7A" w:rsidP="00F44A7A">
            <w:pPr>
              <w:pStyle w:val="s0"/>
              <w:spacing w:line="360" w:lineRule="auto"/>
              <w:jc w:val="both"/>
              <w:rPr>
                <w:rFonts w:ascii="Times New Roman" w:hAnsi="Times New Roman"/>
                <w:spacing w:val="-10"/>
                <w:kern w:val="2"/>
                <w:lang w:val="en-GB"/>
              </w:rPr>
            </w:pPr>
            <w:r w:rsidRPr="00720F35">
              <w:rPr>
                <w:rFonts w:ascii="Times New Roman" w:hAnsi="Times New Roman"/>
                <w:spacing w:val="-10"/>
                <w:kern w:val="2"/>
                <w:lang w:val="en-GB"/>
              </w:rPr>
              <w:t>Where the competent institution of a Contracting Party requires administrative assistance concerning the rights and obligations under the Agreement of a claimant or a beneficiary who is staying or residing in the territory of the other Contracting Party, such assistance shall be accomplished by the institution of the other Contracting Party, in whose territory the claimant or beneficiary is staying or residing.  Such assistance shall be free of charge.</w:t>
            </w:r>
          </w:p>
          <w:p w:rsidR="00F44A7A" w:rsidRPr="00720F35" w:rsidRDefault="00F44A7A" w:rsidP="00F44A7A">
            <w:pPr>
              <w:pStyle w:val="s0"/>
              <w:spacing w:line="360" w:lineRule="auto"/>
              <w:jc w:val="center"/>
              <w:rPr>
                <w:rFonts w:ascii="Times New Roman" w:hAnsi="Times New Roman"/>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Article 7</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 xml:space="preserve">Language of Communications </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1. The institutions of the Contracting Parties may use the Bulgarian</w:t>
            </w:r>
            <w:r w:rsidR="00862354">
              <w:rPr>
                <w:rFonts w:ascii="Times New Roman" w:hAnsi="Times New Roman"/>
                <w:spacing w:val="-10"/>
                <w:kern w:val="2"/>
                <w:lang w:val="bg-BG"/>
              </w:rPr>
              <w:t>,</w:t>
            </w:r>
            <w:r w:rsidRPr="00720F35">
              <w:rPr>
                <w:rFonts w:ascii="Times New Roman" w:hAnsi="Times New Roman"/>
                <w:spacing w:val="-10"/>
                <w:kern w:val="2"/>
                <w:lang w:val="en-GB"/>
              </w:rPr>
              <w:t xml:space="preserve"> </w:t>
            </w:r>
            <w:r w:rsidR="00862354">
              <w:rPr>
                <w:rFonts w:ascii="Times New Roman" w:hAnsi="Times New Roman"/>
                <w:spacing w:val="-10"/>
                <w:kern w:val="2"/>
                <w:lang w:val="en-GB"/>
              </w:rPr>
              <w:t>Arabic</w:t>
            </w:r>
            <w:r w:rsidR="00862354">
              <w:rPr>
                <w:rFonts w:ascii="Times New Roman" w:hAnsi="Times New Roman"/>
                <w:spacing w:val="-10"/>
                <w:kern w:val="2"/>
                <w:lang w:val="bg-BG"/>
              </w:rPr>
              <w:t xml:space="preserve"> </w:t>
            </w:r>
            <w:r w:rsidRPr="00720F35">
              <w:rPr>
                <w:rFonts w:ascii="Times New Roman" w:hAnsi="Times New Roman"/>
                <w:spacing w:val="-10"/>
                <w:kern w:val="2"/>
                <w:lang w:val="en-GB"/>
              </w:rPr>
              <w:t>and English languages for the application of the Agreement.</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t>2. The forms and other documents required for the application of the Agreement shall be in A</w:t>
            </w:r>
            <w:r w:rsidR="008E7382">
              <w:rPr>
                <w:rFonts w:ascii="Times New Roman" w:hAnsi="Times New Roman"/>
                <w:spacing w:val="-10"/>
                <w:kern w:val="2"/>
                <w:lang w:val="en-GB"/>
              </w:rPr>
              <w:t xml:space="preserve">rabic and English for Tunisia, and in Bulgarian </w:t>
            </w:r>
            <w:r w:rsidRPr="00720F35">
              <w:rPr>
                <w:rFonts w:ascii="Times New Roman" w:hAnsi="Times New Roman"/>
                <w:spacing w:val="-10"/>
                <w:kern w:val="2"/>
                <w:lang w:val="en-GB"/>
              </w:rPr>
              <w:t>and English for Bulgaria.</w:t>
            </w:r>
          </w:p>
          <w:p w:rsidR="00F44A7A" w:rsidRPr="00720F35" w:rsidRDefault="00F44A7A" w:rsidP="00F44A7A">
            <w:pPr>
              <w:pStyle w:val="s0"/>
              <w:spacing w:before="120" w:after="120" w:line="360" w:lineRule="auto"/>
              <w:jc w:val="both"/>
              <w:rPr>
                <w:rFonts w:ascii="Times New Roman" w:hAnsi="Times New Roman"/>
                <w:spacing w:val="-10"/>
                <w:kern w:val="2"/>
                <w:lang w:val="en-GB"/>
              </w:rPr>
            </w:pPr>
            <w:r w:rsidRPr="00720F35">
              <w:rPr>
                <w:rFonts w:ascii="Times New Roman" w:hAnsi="Times New Roman"/>
                <w:spacing w:val="-10"/>
                <w:kern w:val="2"/>
                <w:lang w:val="en-GB"/>
              </w:rPr>
              <w:lastRenderedPageBreak/>
              <w:t>3. The institutions may, if necessary, assist each other in translating claims and other documents, written in their respective official languages, by translating these documents into English.</w:t>
            </w:r>
          </w:p>
          <w:p w:rsidR="00F44A7A" w:rsidRPr="00720F35" w:rsidRDefault="00F44A7A" w:rsidP="00F44A7A">
            <w:pPr>
              <w:wordWrap/>
              <w:spacing w:line="360" w:lineRule="auto"/>
              <w:rPr>
                <w:rFonts w:ascii="Times New Roman"/>
                <w:spacing w:val="-10"/>
                <w:sz w:val="24"/>
                <w:szCs w:val="24"/>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Article 8</w:t>
            </w:r>
          </w:p>
          <w:p w:rsidR="00F44A7A" w:rsidRPr="00720F35" w:rsidRDefault="00F44A7A" w:rsidP="008E7382">
            <w:pPr>
              <w:pStyle w:val="s0"/>
              <w:spacing w:after="120"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Exchange of Statistics</w:t>
            </w:r>
          </w:p>
          <w:p w:rsidR="00F44A7A" w:rsidRPr="00720F35" w:rsidRDefault="00F44A7A" w:rsidP="00F44A7A">
            <w:pPr>
              <w:pStyle w:val="s0"/>
              <w:spacing w:line="360" w:lineRule="auto"/>
              <w:jc w:val="both"/>
              <w:rPr>
                <w:rFonts w:ascii="Times New Roman" w:hAnsi="Times New Roman"/>
                <w:spacing w:val="-10"/>
                <w:kern w:val="2"/>
                <w:lang w:val="en-GB"/>
              </w:rPr>
            </w:pPr>
            <w:r w:rsidRPr="00720F35">
              <w:rPr>
                <w:rFonts w:ascii="Times New Roman" w:hAnsi="Times New Roman"/>
                <w:spacing w:val="-10"/>
                <w:kern w:val="2"/>
                <w:lang w:val="en-GB"/>
              </w:rPr>
              <w:t>The institutions of the Contracting Parties shall exchange annual statistics for the calendar year on the payments granted to beneficiaries pursuant to the Agreement. These statistics will include the number of beneficiaries and total amount of the benefits, identified by the benefit type paid under the Agreement. These statistics will be furnished in a form to be consented upon by the institutions.</w:t>
            </w:r>
          </w:p>
          <w:p w:rsidR="00F44A7A" w:rsidRPr="00720F35" w:rsidRDefault="00F44A7A" w:rsidP="00F44A7A">
            <w:pPr>
              <w:pStyle w:val="s0"/>
              <w:spacing w:line="360" w:lineRule="auto"/>
              <w:jc w:val="center"/>
              <w:rPr>
                <w:rFonts w:ascii="Times New Roman" w:hAnsi="Times New Roman"/>
                <w:b/>
                <w:spacing w:val="-10"/>
                <w:kern w:val="2"/>
                <w:lang w:val="en-GB"/>
              </w:rPr>
            </w:pPr>
          </w:p>
          <w:p w:rsidR="008E7382" w:rsidRPr="00720F35" w:rsidRDefault="008E7382" w:rsidP="00F44A7A">
            <w:pPr>
              <w:pStyle w:val="s0"/>
              <w:spacing w:line="360" w:lineRule="auto"/>
              <w:rPr>
                <w:rFonts w:ascii="Times New Roman" w:hAnsi="Times New Roman"/>
                <w:b/>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PART V</w:t>
            </w:r>
          </w:p>
          <w:p w:rsidR="00F44A7A"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Final Provision</w:t>
            </w:r>
          </w:p>
          <w:p w:rsidR="008E7382" w:rsidRPr="00720F35" w:rsidRDefault="008E7382" w:rsidP="00F44A7A">
            <w:pPr>
              <w:pStyle w:val="s0"/>
              <w:spacing w:line="360" w:lineRule="auto"/>
              <w:jc w:val="center"/>
              <w:rPr>
                <w:rFonts w:ascii="Times New Roman" w:hAnsi="Times New Roman"/>
                <w:b/>
                <w:spacing w:val="-10"/>
                <w:kern w:val="2"/>
                <w:lang w:val="en-GB"/>
              </w:rPr>
            </w:pP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Article 9</w:t>
            </w:r>
          </w:p>
          <w:p w:rsidR="00F44A7A" w:rsidRPr="00720F35" w:rsidRDefault="00F44A7A" w:rsidP="00F44A7A">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Entry into Force and Modification</w:t>
            </w:r>
          </w:p>
          <w:p w:rsidR="00F44A7A" w:rsidRPr="00720F35" w:rsidRDefault="00F44A7A" w:rsidP="00F44A7A">
            <w:pPr>
              <w:pStyle w:val="s0"/>
              <w:spacing w:line="360" w:lineRule="auto"/>
              <w:jc w:val="both"/>
              <w:rPr>
                <w:rFonts w:ascii="Times New Roman" w:hAnsi="Times New Roman"/>
                <w:spacing w:val="-10"/>
                <w:kern w:val="2"/>
                <w:lang w:val="en-GB"/>
              </w:rPr>
            </w:pPr>
            <w:r w:rsidRPr="00720F35">
              <w:rPr>
                <w:rFonts w:ascii="Times New Roman" w:hAnsi="Times New Roman"/>
                <w:spacing w:val="-10"/>
                <w:kern w:val="2"/>
                <w:lang w:val="en-GB"/>
              </w:rPr>
              <w:t>1 This Administrative Arrangement shall enter into force on the date of entry into force of the Agreement and shall have the same period of validity.</w:t>
            </w:r>
          </w:p>
          <w:p w:rsidR="00F44A7A" w:rsidRPr="00720F35" w:rsidRDefault="00F44A7A" w:rsidP="00F44A7A">
            <w:pPr>
              <w:pStyle w:val="s0"/>
              <w:spacing w:line="360" w:lineRule="auto"/>
              <w:jc w:val="both"/>
              <w:rPr>
                <w:rFonts w:ascii="Times New Roman" w:hAnsi="Times New Roman"/>
                <w:spacing w:val="-10"/>
                <w:kern w:val="2"/>
                <w:lang w:val="en-GB"/>
              </w:rPr>
            </w:pPr>
            <w:proofErr w:type="gramStart"/>
            <w:r w:rsidRPr="00720F35">
              <w:rPr>
                <w:rFonts w:ascii="Times New Roman" w:hAnsi="Times New Roman"/>
                <w:spacing w:val="-10"/>
                <w:kern w:val="2"/>
                <w:lang w:val="en-GB"/>
              </w:rPr>
              <w:t>2  The</w:t>
            </w:r>
            <w:proofErr w:type="gramEnd"/>
            <w:r w:rsidRPr="00720F35">
              <w:rPr>
                <w:rFonts w:ascii="Times New Roman" w:hAnsi="Times New Roman"/>
                <w:spacing w:val="-10"/>
                <w:kern w:val="2"/>
                <w:lang w:val="en-GB"/>
              </w:rPr>
              <w:t xml:space="preserve"> competent authorities shall notify each other, in writing about changes in the names of the competent institutions without a need for modification of this Arrangement.</w:t>
            </w:r>
          </w:p>
          <w:p w:rsidR="00F44A7A" w:rsidRPr="00720F35" w:rsidRDefault="00F44A7A" w:rsidP="00F44A7A">
            <w:pPr>
              <w:pStyle w:val="s0"/>
              <w:spacing w:line="360" w:lineRule="auto"/>
              <w:jc w:val="both"/>
              <w:rPr>
                <w:rFonts w:ascii="Times New Roman" w:hAnsi="Times New Roman"/>
                <w:spacing w:val="-10"/>
                <w:kern w:val="2"/>
                <w:lang w:val="en-GB"/>
              </w:rPr>
            </w:pPr>
          </w:p>
          <w:p w:rsidR="00F44A7A" w:rsidRPr="00815C09" w:rsidRDefault="00F44A7A" w:rsidP="00F44A7A">
            <w:pPr>
              <w:pStyle w:val="s0"/>
              <w:spacing w:line="360" w:lineRule="auto"/>
              <w:jc w:val="both"/>
              <w:rPr>
                <w:rFonts w:ascii="Times New Roman" w:hAnsi="Times New Roman"/>
                <w:spacing w:val="-10"/>
                <w:kern w:val="2"/>
                <w:lang w:val="bg-BG"/>
              </w:rPr>
            </w:pPr>
          </w:p>
          <w:p w:rsidR="00F44A7A" w:rsidRPr="00720F35" w:rsidRDefault="00F44A7A" w:rsidP="00815C09">
            <w:pPr>
              <w:pStyle w:val="hstyle0"/>
              <w:spacing w:line="360" w:lineRule="auto"/>
              <w:ind w:right="23"/>
              <w:rPr>
                <w:rFonts w:ascii="Times New Roman" w:hAnsi="Times New Roman" w:cs="Times New Roman" w:hint="default"/>
                <w:lang w:val="en-GB"/>
              </w:rPr>
            </w:pPr>
            <w:r w:rsidRPr="00720F35">
              <w:rPr>
                <w:rFonts w:ascii="Times New Roman" w:eastAsia="한양신명조,한컴돋움" w:hAnsi="Times New Roman" w:cs="Times New Roman" w:hint="default"/>
                <w:lang w:val="en-GB"/>
              </w:rPr>
              <w:t xml:space="preserve">DONE in duplicate at </w:t>
            </w:r>
            <w:r w:rsidR="00440CEA">
              <w:rPr>
                <w:rFonts w:ascii="Times New Roman" w:eastAsia="한양신명조,한컴돋움" w:hAnsi="Times New Roman" w:cs="Times New Roman" w:hint="default"/>
                <w:lang w:val="en-GB"/>
              </w:rPr>
              <w:t>Sofia</w:t>
            </w:r>
            <w:r w:rsidRPr="00720F35">
              <w:rPr>
                <w:rFonts w:ascii="Times New Roman" w:eastAsia="한양신명조,한컴돋움" w:hAnsi="Times New Roman" w:cs="Times New Roman" w:hint="default"/>
                <w:lang w:val="en-GB"/>
              </w:rPr>
              <w:t xml:space="preserve"> on </w:t>
            </w:r>
            <w:r w:rsidR="00440CEA">
              <w:rPr>
                <w:rFonts w:ascii="Times New Roman" w:eastAsia="한양신명조,한컴돋움" w:hAnsi="Times New Roman" w:cs="Times New Roman" w:hint="default"/>
                <w:lang w:val="en-GB"/>
              </w:rPr>
              <w:t>16</w:t>
            </w:r>
            <w:r w:rsidR="00440CEA" w:rsidRPr="00440CEA">
              <w:rPr>
                <w:rFonts w:ascii="Times New Roman" w:eastAsia="한양신명조,한컴돋움" w:hAnsi="Times New Roman" w:cs="Times New Roman" w:hint="default"/>
                <w:vertAlign w:val="superscript"/>
                <w:lang w:val="en-GB"/>
              </w:rPr>
              <w:t>th</w:t>
            </w:r>
            <w:r w:rsidR="00440CEA">
              <w:rPr>
                <w:rFonts w:ascii="Times New Roman" w:eastAsia="한양신명조,한컴돋움" w:hAnsi="Times New Roman" w:cs="Times New Roman" w:hint="default"/>
                <w:lang w:val="en-GB"/>
              </w:rPr>
              <w:t xml:space="preserve"> of October</w:t>
            </w:r>
            <w:r w:rsidR="00175E31">
              <w:rPr>
                <w:rFonts w:ascii="Times New Roman" w:eastAsia="한양신명조,한컴돋움" w:hAnsi="Times New Roman" w:cs="Times New Roman" w:hint="default"/>
                <w:lang w:val="bg-BG"/>
              </w:rPr>
              <w:t xml:space="preserve"> 2017</w:t>
            </w:r>
            <w:r w:rsidRPr="00720F35">
              <w:rPr>
                <w:rFonts w:ascii="Times New Roman" w:eastAsia="한양신명조,한컴돋움" w:hAnsi="Times New Roman" w:cs="Times New Roman" w:hint="default"/>
                <w:lang w:val="en-GB"/>
              </w:rPr>
              <w:t>, in Bulgarian, Arabic and English languages, each text being equally authentic. In case of any divergence of interpretation, the English text shall prevail.</w:t>
            </w:r>
          </w:p>
          <w:p w:rsidR="00F44A7A" w:rsidRPr="00815C09" w:rsidRDefault="00F44A7A" w:rsidP="00F44A7A">
            <w:pPr>
              <w:pStyle w:val="s0"/>
              <w:spacing w:line="360" w:lineRule="auto"/>
              <w:jc w:val="center"/>
              <w:rPr>
                <w:rFonts w:ascii="Times New Roman" w:hAnsi="Times New Roman"/>
                <w:spacing w:val="-10"/>
                <w:kern w:val="2"/>
                <w:lang w:val="bg-BG"/>
              </w:rPr>
            </w:pPr>
          </w:p>
          <w:p w:rsidR="00F44A7A" w:rsidRPr="00720F35" w:rsidRDefault="00F44A7A" w:rsidP="00F44A7A">
            <w:pPr>
              <w:pStyle w:val="s0"/>
              <w:spacing w:line="360" w:lineRule="auto"/>
              <w:jc w:val="center"/>
              <w:rPr>
                <w:rFonts w:ascii="Times New Roman" w:hAnsi="Times New Roman"/>
                <w:spacing w:val="-10"/>
                <w:kern w:val="2"/>
                <w:lang w:val="en-GB"/>
              </w:rPr>
            </w:pPr>
          </w:p>
          <w:tbl>
            <w:tblPr>
              <w:tblW w:w="0" w:type="auto"/>
              <w:tblLook w:val="01E0" w:firstRow="1" w:lastRow="1" w:firstColumn="1" w:lastColumn="1" w:noHBand="0" w:noVBand="0"/>
            </w:tblPr>
            <w:tblGrid>
              <w:gridCol w:w="4503"/>
              <w:gridCol w:w="4408"/>
            </w:tblGrid>
            <w:tr w:rsidR="00F44A7A" w:rsidRPr="00720F35" w:rsidTr="00DF6B20">
              <w:tc>
                <w:tcPr>
                  <w:tcW w:w="4606" w:type="dxa"/>
                </w:tcPr>
                <w:p w:rsidR="00F44A7A" w:rsidRPr="00720F35" w:rsidRDefault="00F44A7A" w:rsidP="00DF6B20">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 xml:space="preserve">FOR THE COMPETENT AUTHORITY </w:t>
                  </w:r>
                </w:p>
                <w:p w:rsidR="00F44A7A" w:rsidRPr="00720F35" w:rsidRDefault="00F44A7A" w:rsidP="00DF6B20">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OF THE REPUBLIC OF BULGARIA</w:t>
                  </w:r>
                </w:p>
                <w:p w:rsidR="00815C09" w:rsidRDefault="00815C09" w:rsidP="00DF6B20">
                  <w:pPr>
                    <w:pStyle w:val="s0"/>
                    <w:spacing w:line="360" w:lineRule="auto"/>
                    <w:jc w:val="center"/>
                    <w:rPr>
                      <w:rFonts w:ascii="Times New Roman" w:hAnsi="Times New Roman"/>
                      <w:b/>
                      <w:spacing w:val="-10"/>
                      <w:kern w:val="2"/>
                      <w:lang w:val="bg-BG"/>
                    </w:rPr>
                  </w:pPr>
                </w:p>
                <w:p w:rsidR="00815C09" w:rsidRPr="00815C09" w:rsidRDefault="00815C09" w:rsidP="00DF6B20">
                  <w:pPr>
                    <w:pStyle w:val="s0"/>
                    <w:spacing w:line="360" w:lineRule="auto"/>
                    <w:jc w:val="center"/>
                    <w:rPr>
                      <w:rFonts w:ascii="Times New Roman" w:hAnsi="Times New Roman"/>
                      <w:b/>
                      <w:spacing w:val="-10"/>
                      <w:kern w:val="2"/>
                      <w:lang w:val="bg-BG"/>
                    </w:rPr>
                  </w:pPr>
                </w:p>
                <w:p w:rsidR="00F44A7A" w:rsidRPr="00720F35" w:rsidRDefault="00F44A7A" w:rsidP="00DF6B20">
                  <w:pPr>
                    <w:pStyle w:val="s0"/>
                    <w:spacing w:line="360" w:lineRule="auto"/>
                    <w:rPr>
                      <w:rFonts w:ascii="Times New Roman" w:hAnsi="Times New Roman"/>
                      <w:b/>
                      <w:spacing w:val="-10"/>
                      <w:kern w:val="2"/>
                      <w:lang w:val="en-GB"/>
                    </w:rPr>
                  </w:pPr>
                  <w:r w:rsidRPr="00720F35">
                    <w:rPr>
                      <w:rFonts w:ascii="Times New Roman" w:hAnsi="Times New Roman"/>
                      <w:b/>
                      <w:spacing w:val="-10"/>
                      <w:kern w:val="2"/>
                      <w:lang w:val="en-GB"/>
                    </w:rPr>
                    <w:t>………………………………………………</w:t>
                  </w:r>
                </w:p>
                <w:p w:rsidR="00F44A7A" w:rsidRPr="00720F35" w:rsidRDefault="00F44A7A" w:rsidP="00DF6B20">
                  <w:pPr>
                    <w:pStyle w:val="s0"/>
                    <w:spacing w:line="360" w:lineRule="auto"/>
                    <w:jc w:val="center"/>
                    <w:rPr>
                      <w:rFonts w:ascii="Times New Roman" w:hAnsi="Times New Roman"/>
                      <w:b/>
                      <w:spacing w:val="-10"/>
                      <w:kern w:val="2"/>
                      <w:lang w:val="en-GB"/>
                    </w:rPr>
                  </w:pPr>
                </w:p>
              </w:tc>
              <w:tc>
                <w:tcPr>
                  <w:tcW w:w="4606" w:type="dxa"/>
                </w:tcPr>
                <w:p w:rsidR="00F44A7A" w:rsidRPr="00720F35" w:rsidRDefault="00F44A7A" w:rsidP="00DF6B20">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FOR THE COMPETENT AUTHORITY</w:t>
                  </w:r>
                </w:p>
                <w:p w:rsidR="00F44A7A" w:rsidRPr="00720F35" w:rsidRDefault="00F44A7A" w:rsidP="00DF6B20">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OF THE REPUBLIC OF  TUNISIA</w:t>
                  </w:r>
                </w:p>
                <w:p w:rsidR="00F44A7A" w:rsidRDefault="00F44A7A" w:rsidP="00DF6B20">
                  <w:pPr>
                    <w:pStyle w:val="s0"/>
                    <w:spacing w:line="360" w:lineRule="auto"/>
                    <w:jc w:val="center"/>
                    <w:rPr>
                      <w:rFonts w:ascii="Times New Roman" w:hAnsi="Times New Roman"/>
                      <w:b/>
                      <w:spacing w:val="-10"/>
                      <w:kern w:val="2"/>
                      <w:lang w:val="bg-BG"/>
                    </w:rPr>
                  </w:pPr>
                </w:p>
                <w:p w:rsidR="00815C09" w:rsidRPr="00815C09" w:rsidRDefault="00815C09" w:rsidP="00DF6B20">
                  <w:pPr>
                    <w:pStyle w:val="s0"/>
                    <w:spacing w:line="360" w:lineRule="auto"/>
                    <w:jc w:val="center"/>
                    <w:rPr>
                      <w:rFonts w:ascii="Times New Roman" w:hAnsi="Times New Roman"/>
                      <w:b/>
                      <w:spacing w:val="-10"/>
                      <w:kern w:val="2"/>
                      <w:lang w:val="bg-BG"/>
                    </w:rPr>
                  </w:pPr>
                </w:p>
                <w:p w:rsidR="00F44A7A" w:rsidRPr="00720F35" w:rsidRDefault="00F44A7A" w:rsidP="008E7382">
                  <w:pPr>
                    <w:pStyle w:val="s0"/>
                    <w:spacing w:line="360" w:lineRule="auto"/>
                    <w:jc w:val="center"/>
                    <w:rPr>
                      <w:rFonts w:ascii="Times New Roman" w:hAnsi="Times New Roman"/>
                      <w:b/>
                      <w:spacing w:val="-10"/>
                      <w:kern w:val="2"/>
                      <w:lang w:val="en-GB"/>
                    </w:rPr>
                  </w:pPr>
                  <w:r w:rsidRPr="00720F35">
                    <w:rPr>
                      <w:rFonts w:ascii="Times New Roman" w:hAnsi="Times New Roman"/>
                      <w:b/>
                      <w:spacing w:val="-10"/>
                      <w:kern w:val="2"/>
                      <w:lang w:val="en-GB"/>
                    </w:rPr>
                    <w:t>……………………………………………</w:t>
                  </w:r>
                </w:p>
              </w:tc>
              <w:bookmarkStart w:id="0" w:name="_GoBack"/>
              <w:bookmarkEnd w:id="0"/>
            </w:tr>
          </w:tbl>
          <w:p w:rsidR="00F44A7A" w:rsidRPr="00815C09" w:rsidRDefault="00F44A7A" w:rsidP="00AD68F9">
            <w:pPr>
              <w:pStyle w:val="s0"/>
              <w:spacing w:line="360" w:lineRule="auto"/>
              <w:jc w:val="center"/>
              <w:rPr>
                <w:rFonts w:ascii="Times New Roman" w:hAnsi="Times New Roman"/>
                <w:spacing w:val="-10"/>
                <w:kern w:val="2"/>
                <w:lang w:val="bg-BG"/>
              </w:rPr>
            </w:pPr>
          </w:p>
        </w:tc>
      </w:tr>
    </w:tbl>
    <w:p w:rsidR="008E7382" w:rsidRPr="008E7382" w:rsidRDefault="008E7382" w:rsidP="008E7382">
      <w:pPr>
        <w:pStyle w:val="s0"/>
        <w:spacing w:line="360" w:lineRule="auto"/>
        <w:jc w:val="center"/>
        <w:rPr>
          <w:rFonts w:ascii="Times New Roman" w:hAnsi="Times New Roman"/>
          <w:spacing w:val="-10"/>
          <w:kern w:val="2"/>
          <w:lang w:val="en-GB"/>
        </w:rPr>
      </w:pPr>
    </w:p>
    <w:sectPr w:rsidR="008E7382" w:rsidRPr="008E7382" w:rsidSect="00F44A7A">
      <w:footerReference w:type="even" r:id="rId8"/>
      <w:footerReference w:type="default" r:id="rId9"/>
      <w:pgSz w:w="11906" w:h="16838"/>
      <w:pgMar w:top="1361" w:right="1558" w:bottom="1361" w:left="1361" w:header="709" w:footer="13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8AC" w:rsidRDefault="00BE08AC">
      <w:r>
        <w:separator/>
      </w:r>
    </w:p>
  </w:endnote>
  <w:endnote w:type="continuationSeparator" w:id="0">
    <w:p w:rsidR="00BE08AC" w:rsidRDefault="00BE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휴먼명조">
    <w:altName w:val="Arial Unicode MS"/>
    <w:panose1 w:val="00000000000000000000"/>
    <w:charset w:val="81"/>
    <w:family w:val="roman"/>
    <w:notTrueType/>
    <w:pitch w:val="default"/>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한양신명조,한컴돋움">
    <w:altName w:val="Arial Unicode MS"/>
    <w:panose1 w:val="00000000000000000000"/>
    <w:charset w:val="81"/>
    <w:family w:val="roman"/>
    <w:notTrueType/>
    <w:pitch w:val="default"/>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F9" w:rsidRDefault="00AD68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68F9" w:rsidRDefault="00AD68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8F9" w:rsidRDefault="00AD68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5C09">
      <w:rPr>
        <w:rStyle w:val="PageNumber"/>
        <w:noProof/>
      </w:rPr>
      <w:t>7</w:t>
    </w:r>
    <w:r>
      <w:rPr>
        <w:rStyle w:val="PageNumber"/>
      </w:rPr>
      <w:fldChar w:fldCharType="end"/>
    </w:r>
  </w:p>
  <w:p w:rsidR="00AD68F9" w:rsidRDefault="00AD68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8AC" w:rsidRDefault="00BE08AC">
      <w:r>
        <w:separator/>
      </w:r>
    </w:p>
  </w:footnote>
  <w:footnote w:type="continuationSeparator" w:id="0">
    <w:p w:rsidR="00BE08AC" w:rsidRDefault="00BE0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F51"/>
    <w:multiLevelType w:val="multilevel"/>
    <w:tmpl w:val="7B68AD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95818"/>
    <w:multiLevelType w:val="hybridMultilevel"/>
    <w:tmpl w:val="CA88455C"/>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44791A45"/>
    <w:multiLevelType w:val="hybridMultilevel"/>
    <w:tmpl w:val="5832F8A2"/>
    <w:lvl w:ilvl="0" w:tplc="0402000F">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7A51402B"/>
    <w:multiLevelType w:val="hybridMultilevel"/>
    <w:tmpl w:val="87D6AB56"/>
    <w:lvl w:ilvl="0" w:tplc="BFDE5072">
      <w:start w:val="2"/>
      <w:numFmt w:val="lowerLetter"/>
      <w:lvlText w:val="(%1)"/>
      <w:lvlJc w:val="left"/>
      <w:pPr>
        <w:tabs>
          <w:tab w:val="num" w:pos="1155"/>
        </w:tabs>
        <w:ind w:left="1155" w:hanging="79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6A1"/>
    <w:rsid w:val="00014C0D"/>
    <w:rsid w:val="0008658A"/>
    <w:rsid w:val="00125425"/>
    <w:rsid w:val="001278A0"/>
    <w:rsid w:val="001605E9"/>
    <w:rsid w:val="00175E31"/>
    <w:rsid w:val="001937E7"/>
    <w:rsid w:val="0019588F"/>
    <w:rsid w:val="001B0A24"/>
    <w:rsid w:val="001C1ED7"/>
    <w:rsid w:val="001E7A05"/>
    <w:rsid w:val="002A5688"/>
    <w:rsid w:val="003122BD"/>
    <w:rsid w:val="003652E2"/>
    <w:rsid w:val="00367EB2"/>
    <w:rsid w:val="00374A32"/>
    <w:rsid w:val="003801F3"/>
    <w:rsid w:val="003A3F98"/>
    <w:rsid w:val="003E2446"/>
    <w:rsid w:val="003F4C70"/>
    <w:rsid w:val="00402D4C"/>
    <w:rsid w:val="0040530C"/>
    <w:rsid w:val="00440CEA"/>
    <w:rsid w:val="00461292"/>
    <w:rsid w:val="00466144"/>
    <w:rsid w:val="004B299C"/>
    <w:rsid w:val="0052695B"/>
    <w:rsid w:val="005804D3"/>
    <w:rsid w:val="005A7D47"/>
    <w:rsid w:val="005B3649"/>
    <w:rsid w:val="005D1112"/>
    <w:rsid w:val="005F480B"/>
    <w:rsid w:val="006255A0"/>
    <w:rsid w:val="00631F1A"/>
    <w:rsid w:val="00641838"/>
    <w:rsid w:val="00657D64"/>
    <w:rsid w:val="0066621C"/>
    <w:rsid w:val="00671B14"/>
    <w:rsid w:val="00691A62"/>
    <w:rsid w:val="006A12B1"/>
    <w:rsid w:val="006A2CCA"/>
    <w:rsid w:val="006B6197"/>
    <w:rsid w:val="006C1AA1"/>
    <w:rsid w:val="007118FE"/>
    <w:rsid w:val="00720F35"/>
    <w:rsid w:val="00740C40"/>
    <w:rsid w:val="00752123"/>
    <w:rsid w:val="00766717"/>
    <w:rsid w:val="00781BDE"/>
    <w:rsid w:val="007C1FD1"/>
    <w:rsid w:val="007E1501"/>
    <w:rsid w:val="007F18F3"/>
    <w:rsid w:val="007F73F8"/>
    <w:rsid w:val="00815C09"/>
    <w:rsid w:val="00837CBC"/>
    <w:rsid w:val="00837D99"/>
    <w:rsid w:val="008460A5"/>
    <w:rsid w:val="00862354"/>
    <w:rsid w:val="008810A1"/>
    <w:rsid w:val="00881DC1"/>
    <w:rsid w:val="0089235B"/>
    <w:rsid w:val="008951F4"/>
    <w:rsid w:val="00895944"/>
    <w:rsid w:val="008B3169"/>
    <w:rsid w:val="008D1834"/>
    <w:rsid w:val="008E7382"/>
    <w:rsid w:val="008F4E2B"/>
    <w:rsid w:val="00941EF5"/>
    <w:rsid w:val="009449A9"/>
    <w:rsid w:val="00952721"/>
    <w:rsid w:val="00984A75"/>
    <w:rsid w:val="00993FE8"/>
    <w:rsid w:val="009A3A59"/>
    <w:rsid w:val="00A23908"/>
    <w:rsid w:val="00A33281"/>
    <w:rsid w:val="00A34FAF"/>
    <w:rsid w:val="00A40253"/>
    <w:rsid w:val="00A4371E"/>
    <w:rsid w:val="00A8176D"/>
    <w:rsid w:val="00A81DD5"/>
    <w:rsid w:val="00A96267"/>
    <w:rsid w:val="00AD68F9"/>
    <w:rsid w:val="00AE36BB"/>
    <w:rsid w:val="00B0019B"/>
    <w:rsid w:val="00B20638"/>
    <w:rsid w:val="00B2778F"/>
    <w:rsid w:val="00B50DB1"/>
    <w:rsid w:val="00B63D27"/>
    <w:rsid w:val="00B96AC3"/>
    <w:rsid w:val="00BD6503"/>
    <w:rsid w:val="00BE08AC"/>
    <w:rsid w:val="00BE709A"/>
    <w:rsid w:val="00BF30BB"/>
    <w:rsid w:val="00C61D40"/>
    <w:rsid w:val="00C64D05"/>
    <w:rsid w:val="00CA4E23"/>
    <w:rsid w:val="00CE1ABF"/>
    <w:rsid w:val="00D500E0"/>
    <w:rsid w:val="00D66119"/>
    <w:rsid w:val="00D70801"/>
    <w:rsid w:val="00D726B0"/>
    <w:rsid w:val="00D74C90"/>
    <w:rsid w:val="00DB0845"/>
    <w:rsid w:val="00DC1BDD"/>
    <w:rsid w:val="00DC6C66"/>
    <w:rsid w:val="00E12701"/>
    <w:rsid w:val="00E32B9B"/>
    <w:rsid w:val="00E656A1"/>
    <w:rsid w:val="00E66B2C"/>
    <w:rsid w:val="00EA346C"/>
    <w:rsid w:val="00F254E9"/>
    <w:rsid w:val="00F34DFE"/>
    <w:rsid w:val="00F44A7A"/>
    <w:rsid w:val="00F65EDF"/>
    <w:rsid w:val="00F71C57"/>
    <w:rsid w:val="00F9222E"/>
    <w:rsid w:val="00FB5713"/>
    <w:rsid w:val="00FC0E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wordWrap w:val="0"/>
      <w:autoSpaceDE w:val="0"/>
      <w:autoSpaceDN w:val="0"/>
      <w:jc w:val="both"/>
    </w:pPr>
    <w:rPr>
      <w:rFonts w:ascii="Batang" w:cs="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0">
    <w:name w:val="s0"/>
    <w:pPr>
      <w:widowControl w:val="0"/>
      <w:autoSpaceDE w:val="0"/>
      <w:autoSpaceDN w:val="0"/>
      <w:adjustRightInd w:val="0"/>
    </w:pPr>
    <w:rPr>
      <w:rFonts w:ascii="¹ÙÅÁ" w:hAnsi="¹ÙÅÁ" w:cs="¹ÙÅÁ"/>
      <w:sz w:val="24"/>
      <w:szCs w:val="24"/>
      <w:lang w:val="en-US" w:eastAsia="ko-KR"/>
    </w:rPr>
  </w:style>
  <w:style w:type="paragraph" w:styleId="BodyTextIndent">
    <w:name w:val="Body Text Indent"/>
    <w:basedOn w:val="Normal"/>
    <w:pPr>
      <w:wordWrap/>
      <w:spacing w:line="360" w:lineRule="auto"/>
      <w:ind w:firstLineChars="156" w:firstLine="359"/>
    </w:pPr>
    <w:rPr>
      <w:rFonts w:ascii="Times New Roman"/>
      <w:spacing w:val="-10"/>
      <w:sz w:val="24"/>
      <w:szCs w:val="24"/>
      <w:lang w:val="en-GB"/>
    </w:rPr>
  </w:style>
  <w:style w:type="paragraph" w:customStyle="1" w:styleId="Style1">
    <w:name w:val="Style1"/>
    <w:basedOn w:val="NormalIndent"/>
    <w:pPr>
      <w:spacing w:line="360" w:lineRule="auto"/>
      <w:jc w:val="center"/>
    </w:pPr>
    <w:rPr>
      <w:rFonts w:ascii="Times New Roman" w:cs="Times New Roman"/>
      <w:spacing w:val="-10"/>
    </w:rPr>
  </w:style>
  <w:style w:type="paragraph" w:styleId="Footer">
    <w:name w:val="footer"/>
    <w:basedOn w:val="Normal"/>
    <w:pPr>
      <w:tabs>
        <w:tab w:val="center" w:pos="4536"/>
        <w:tab w:val="right" w:pos="9072"/>
      </w:tabs>
    </w:pPr>
  </w:style>
  <w:style w:type="paragraph" w:styleId="NormalIndent">
    <w:name w:val="Normal Indent"/>
    <w:basedOn w:val="Normal"/>
    <w:pPr>
      <w:ind w:left="708"/>
    </w:pPr>
  </w:style>
  <w:style w:type="character" w:styleId="PageNumber">
    <w:name w:val="page number"/>
    <w:basedOn w:val="DefaultParagraphFont"/>
  </w:style>
  <w:style w:type="paragraph" w:styleId="BodyTextIndent2">
    <w:name w:val="Body Text Indent 2"/>
    <w:basedOn w:val="Normal"/>
    <w:pPr>
      <w:wordWrap/>
      <w:spacing w:line="360" w:lineRule="auto"/>
      <w:ind w:firstLineChars="78" w:firstLine="179"/>
    </w:pPr>
    <w:rPr>
      <w:rFonts w:ascii="Times New Roman"/>
      <w:spacing w:val="-10"/>
      <w:sz w:val="24"/>
      <w:szCs w:val="24"/>
      <w:lang w:val="en-GB"/>
    </w:rPr>
  </w:style>
  <w:style w:type="paragraph" w:styleId="Header">
    <w:name w:val="header"/>
    <w:basedOn w:val="Normal"/>
    <w:rsid w:val="007F73F8"/>
    <w:pPr>
      <w:tabs>
        <w:tab w:val="center" w:pos="4536"/>
        <w:tab w:val="right" w:pos="9072"/>
      </w:tabs>
    </w:pPr>
  </w:style>
  <w:style w:type="character" w:styleId="CommentReference">
    <w:name w:val="annotation reference"/>
    <w:semiHidden/>
    <w:rsid w:val="00A34FAF"/>
    <w:rPr>
      <w:sz w:val="16"/>
      <w:szCs w:val="16"/>
    </w:rPr>
  </w:style>
  <w:style w:type="paragraph" w:styleId="CommentText">
    <w:name w:val="annotation text"/>
    <w:basedOn w:val="Normal"/>
    <w:semiHidden/>
    <w:rsid w:val="00A34FAF"/>
  </w:style>
  <w:style w:type="paragraph" w:styleId="CommentSubject">
    <w:name w:val="annotation subject"/>
    <w:basedOn w:val="CommentText"/>
    <w:next w:val="CommentText"/>
    <w:semiHidden/>
    <w:rsid w:val="00A34FAF"/>
    <w:rPr>
      <w:b/>
      <w:bCs/>
    </w:rPr>
  </w:style>
  <w:style w:type="paragraph" w:styleId="BalloonText">
    <w:name w:val="Balloon Text"/>
    <w:basedOn w:val="Normal"/>
    <w:semiHidden/>
    <w:rsid w:val="00A34FAF"/>
    <w:rPr>
      <w:rFonts w:ascii="Tahoma" w:hAnsi="Tahoma" w:cs="Tahoma"/>
      <w:sz w:val="16"/>
      <w:szCs w:val="16"/>
    </w:rPr>
  </w:style>
  <w:style w:type="paragraph" w:customStyle="1" w:styleId="hstyle0">
    <w:name w:val="hstyle0"/>
    <w:basedOn w:val="Normal"/>
    <w:rsid w:val="008B3169"/>
    <w:pPr>
      <w:widowControl/>
      <w:wordWrap/>
      <w:autoSpaceDE/>
      <w:autoSpaceDN/>
      <w:spacing w:line="312" w:lineRule="auto"/>
    </w:pPr>
    <w:rPr>
      <w:rFonts w:ascii="휴먼명조" w:eastAsia="휴먼명조" w:hAnsi="Arial Unicode MS" w:cs="Arial Unicode MS" w:hint="eastAsia"/>
      <w:color w:val="000000"/>
      <w:kern w:val="0"/>
      <w:sz w:val="24"/>
      <w:szCs w:val="24"/>
    </w:rPr>
  </w:style>
  <w:style w:type="table" w:styleId="TableGrid">
    <w:name w:val="Table Grid"/>
    <w:basedOn w:val="TableNormal"/>
    <w:rsid w:val="00F4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wordWrap w:val="0"/>
      <w:autoSpaceDE w:val="0"/>
      <w:autoSpaceDN w:val="0"/>
      <w:jc w:val="both"/>
    </w:pPr>
    <w:rPr>
      <w:rFonts w:ascii="Batang" w:cs="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0">
    <w:name w:val="s0"/>
    <w:pPr>
      <w:widowControl w:val="0"/>
      <w:autoSpaceDE w:val="0"/>
      <w:autoSpaceDN w:val="0"/>
      <w:adjustRightInd w:val="0"/>
    </w:pPr>
    <w:rPr>
      <w:rFonts w:ascii="¹ÙÅÁ" w:hAnsi="¹ÙÅÁ" w:cs="¹ÙÅÁ"/>
      <w:sz w:val="24"/>
      <w:szCs w:val="24"/>
      <w:lang w:val="en-US" w:eastAsia="ko-KR"/>
    </w:rPr>
  </w:style>
  <w:style w:type="paragraph" w:styleId="BodyTextIndent">
    <w:name w:val="Body Text Indent"/>
    <w:basedOn w:val="Normal"/>
    <w:pPr>
      <w:wordWrap/>
      <w:spacing w:line="360" w:lineRule="auto"/>
      <w:ind w:firstLineChars="156" w:firstLine="359"/>
    </w:pPr>
    <w:rPr>
      <w:rFonts w:ascii="Times New Roman"/>
      <w:spacing w:val="-10"/>
      <w:sz w:val="24"/>
      <w:szCs w:val="24"/>
      <w:lang w:val="en-GB"/>
    </w:rPr>
  </w:style>
  <w:style w:type="paragraph" w:customStyle="1" w:styleId="Style1">
    <w:name w:val="Style1"/>
    <w:basedOn w:val="NormalIndent"/>
    <w:pPr>
      <w:spacing w:line="360" w:lineRule="auto"/>
      <w:jc w:val="center"/>
    </w:pPr>
    <w:rPr>
      <w:rFonts w:ascii="Times New Roman" w:cs="Times New Roman"/>
      <w:spacing w:val="-10"/>
    </w:rPr>
  </w:style>
  <w:style w:type="paragraph" w:styleId="Footer">
    <w:name w:val="footer"/>
    <w:basedOn w:val="Normal"/>
    <w:pPr>
      <w:tabs>
        <w:tab w:val="center" w:pos="4536"/>
        <w:tab w:val="right" w:pos="9072"/>
      </w:tabs>
    </w:pPr>
  </w:style>
  <w:style w:type="paragraph" w:styleId="NormalIndent">
    <w:name w:val="Normal Indent"/>
    <w:basedOn w:val="Normal"/>
    <w:pPr>
      <w:ind w:left="708"/>
    </w:pPr>
  </w:style>
  <w:style w:type="character" w:styleId="PageNumber">
    <w:name w:val="page number"/>
    <w:basedOn w:val="DefaultParagraphFont"/>
  </w:style>
  <w:style w:type="paragraph" w:styleId="BodyTextIndent2">
    <w:name w:val="Body Text Indent 2"/>
    <w:basedOn w:val="Normal"/>
    <w:pPr>
      <w:wordWrap/>
      <w:spacing w:line="360" w:lineRule="auto"/>
      <w:ind w:firstLineChars="78" w:firstLine="179"/>
    </w:pPr>
    <w:rPr>
      <w:rFonts w:ascii="Times New Roman"/>
      <w:spacing w:val="-10"/>
      <w:sz w:val="24"/>
      <w:szCs w:val="24"/>
      <w:lang w:val="en-GB"/>
    </w:rPr>
  </w:style>
  <w:style w:type="paragraph" w:styleId="Header">
    <w:name w:val="header"/>
    <w:basedOn w:val="Normal"/>
    <w:rsid w:val="007F73F8"/>
    <w:pPr>
      <w:tabs>
        <w:tab w:val="center" w:pos="4536"/>
        <w:tab w:val="right" w:pos="9072"/>
      </w:tabs>
    </w:pPr>
  </w:style>
  <w:style w:type="character" w:styleId="CommentReference">
    <w:name w:val="annotation reference"/>
    <w:semiHidden/>
    <w:rsid w:val="00A34FAF"/>
    <w:rPr>
      <w:sz w:val="16"/>
      <w:szCs w:val="16"/>
    </w:rPr>
  </w:style>
  <w:style w:type="paragraph" w:styleId="CommentText">
    <w:name w:val="annotation text"/>
    <w:basedOn w:val="Normal"/>
    <w:semiHidden/>
    <w:rsid w:val="00A34FAF"/>
  </w:style>
  <w:style w:type="paragraph" w:styleId="CommentSubject">
    <w:name w:val="annotation subject"/>
    <w:basedOn w:val="CommentText"/>
    <w:next w:val="CommentText"/>
    <w:semiHidden/>
    <w:rsid w:val="00A34FAF"/>
    <w:rPr>
      <w:b/>
      <w:bCs/>
    </w:rPr>
  </w:style>
  <w:style w:type="paragraph" w:styleId="BalloonText">
    <w:name w:val="Balloon Text"/>
    <w:basedOn w:val="Normal"/>
    <w:semiHidden/>
    <w:rsid w:val="00A34FAF"/>
    <w:rPr>
      <w:rFonts w:ascii="Tahoma" w:hAnsi="Tahoma" w:cs="Tahoma"/>
      <w:sz w:val="16"/>
      <w:szCs w:val="16"/>
    </w:rPr>
  </w:style>
  <w:style w:type="paragraph" w:customStyle="1" w:styleId="hstyle0">
    <w:name w:val="hstyle0"/>
    <w:basedOn w:val="Normal"/>
    <w:rsid w:val="008B3169"/>
    <w:pPr>
      <w:widowControl/>
      <w:wordWrap/>
      <w:autoSpaceDE/>
      <w:autoSpaceDN/>
      <w:spacing w:line="312" w:lineRule="auto"/>
    </w:pPr>
    <w:rPr>
      <w:rFonts w:ascii="휴먼명조" w:eastAsia="휴먼명조" w:hAnsi="Arial Unicode MS" w:cs="Arial Unicode MS" w:hint="eastAsia"/>
      <w:color w:val="000000"/>
      <w:kern w:val="0"/>
      <w:sz w:val="24"/>
      <w:szCs w:val="24"/>
    </w:rPr>
  </w:style>
  <w:style w:type="table" w:styleId="TableGrid">
    <w:name w:val="Table Grid"/>
    <w:basedOn w:val="TableNormal"/>
    <w:rsid w:val="00F44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27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ADMINISTRATIVE ARRANGEMENT</vt:lpstr>
    </vt:vector>
  </TitlesOfParts>
  <Company>mlsp</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dc:title>
  <dc:creator>portable</dc:creator>
  <cp:lastModifiedBy>Nikolay Aleksiev</cp:lastModifiedBy>
  <cp:revision>11</cp:revision>
  <cp:lastPrinted>2015-06-08T11:12:00Z</cp:lastPrinted>
  <dcterms:created xsi:type="dcterms:W3CDTF">2017-10-10T07:50:00Z</dcterms:created>
  <dcterms:modified xsi:type="dcterms:W3CDTF">2017-10-10T08:25:00Z</dcterms:modified>
</cp:coreProperties>
</file>