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08" w:rsidRDefault="00364108" w:rsidP="00364108">
      <w:pPr>
        <w:pStyle w:val="NormalWeb"/>
        <w:jc w:val="center"/>
      </w:pPr>
      <w:r>
        <w:rPr>
          <w:b/>
          <w:bCs/>
        </w:rPr>
        <w:t xml:space="preserve">СПОГОДБА МЕЖДУ НАРОДНА РЕПУБЛИКА БЪЛГАРИЯ И СОЦИАЛИСТИЧЕСКА НАРОДНА ЛИБИЙСКА АРАБСКА ДЖАМАХИРИЯ ПО СОЦИАЛНОТО ОСИГУРЯВАНЕ </w:t>
      </w:r>
    </w:p>
    <w:p w:rsidR="00364108" w:rsidRDefault="00364108" w:rsidP="00364108">
      <w:pPr>
        <w:pStyle w:val="NormalWeb"/>
      </w:pPr>
      <w:r>
        <w:t xml:space="preserve">Ратифициран с Указ № 2005 на Държавния съвет от 25.06.1984 г. - ДВ, бр. 51 от 29.06.1984 г. </w:t>
      </w:r>
      <w:proofErr w:type="spellStart"/>
      <w:r>
        <w:t>Обн</w:t>
      </w:r>
      <w:proofErr w:type="spellEnd"/>
      <w:r>
        <w:t>., ДВ, бр. 101 от 29.12.1987 г. В сила от 1.08.1985 г.</w:t>
      </w:r>
    </w:p>
    <w:p w:rsidR="00364108" w:rsidRDefault="00364108" w:rsidP="00364108">
      <w:pPr>
        <w:pStyle w:val="NormalWeb"/>
      </w:pPr>
      <w:r>
        <w:t xml:space="preserve">Народна република България и Социалистическа народна либийска арабска </w:t>
      </w:r>
      <w:proofErr w:type="spellStart"/>
      <w:r>
        <w:t>Джамахирия</w:t>
      </w:r>
      <w:proofErr w:type="spellEnd"/>
      <w:r>
        <w:t>, ръководени от взаимното желание за укрепване на приятелските отношения между двете страни и народи и за заздравяване и развитие на връзките в областта на социалното осигуряване, се договориха за следното:</w:t>
      </w:r>
    </w:p>
    <w:p w:rsidR="00364108" w:rsidRDefault="00364108" w:rsidP="00364108">
      <w:pPr>
        <w:pStyle w:val="NormalWeb"/>
      </w:pPr>
      <w:r>
        <w:t>Член 1</w:t>
      </w:r>
      <w:r>
        <w:br/>
        <w:t xml:space="preserve">За целите на тази спогодба, </w:t>
      </w:r>
      <w:proofErr w:type="spellStart"/>
      <w:r>
        <w:t>използуваните</w:t>
      </w:r>
      <w:proofErr w:type="spellEnd"/>
      <w:r>
        <w:t xml:space="preserve"> термини имат следното значение:</w:t>
      </w:r>
      <w:r>
        <w:br/>
        <w:t xml:space="preserve">а) законодателство - това са всички закони, разпоредби, инструкции и решения, </w:t>
      </w:r>
      <w:proofErr w:type="spellStart"/>
      <w:r>
        <w:t>действуващи</w:t>
      </w:r>
      <w:proofErr w:type="spellEnd"/>
      <w:r>
        <w:t xml:space="preserve"> във всяка една от договарящите страни, които се отнасят до социалното осигуряване;</w:t>
      </w:r>
      <w:r>
        <w:br/>
        <w:t xml:space="preserve">б) централен орган - за Народна република България това е председателят на Комитета по труда и социалното дело, а за Социалистическа народна либийска арабска </w:t>
      </w:r>
      <w:proofErr w:type="spellStart"/>
      <w:r>
        <w:t>Джамахирия</w:t>
      </w:r>
      <w:proofErr w:type="spellEnd"/>
      <w:r>
        <w:t xml:space="preserve"> - секретарят на Народния комитет за социално осигуряване или друг орган, определен от договарящата страна;</w:t>
      </w:r>
      <w:r>
        <w:br/>
        <w:t>в) компетентен орган - е органът за социално осигуряване, който е натоварен да прилага посоченото законодателство;</w:t>
      </w:r>
      <w:r>
        <w:br/>
        <w:t xml:space="preserve">г) </w:t>
      </w:r>
      <w:proofErr w:type="spellStart"/>
      <w:r>
        <w:t>правоимащо</w:t>
      </w:r>
      <w:proofErr w:type="spellEnd"/>
      <w:r>
        <w:t xml:space="preserve"> лице - е гражданин на една от двете договарящи страни, който е изпратен да работи в предприятие, изпълняващо проект в другата страна, и получава заплата от това предприятие;</w:t>
      </w:r>
      <w:r>
        <w:br/>
        <w:t xml:space="preserve">д) изпращаща страна - това е страната, на чиято територия се намира седалището на предприятието, в което работи </w:t>
      </w:r>
      <w:proofErr w:type="spellStart"/>
      <w:r>
        <w:t>правоимащото</w:t>
      </w:r>
      <w:proofErr w:type="spellEnd"/>
      <w:r>
        <w:t xml:space="preserve"> лице;</w:t>
      </w:r>
      <w:r>
        <w:br/>
        <w:t>е) страна на работа - това е страната, на чиято територия се изпълнява проектът.</w:t>
      </w:r>
    </w:p>
    <w:p w:rsidR="00364108" w:rsidRDefault="00364108" w:rsidP="00364108">
      <w:pPr>
        <w:pStyle w:val="NormalWeb"/>
      </w:pPr>
      <w:r>
        <w:t>Член 2</w:t>
      </w:r>
      <w:r>
        <w:br/>
      </w:r>
      <w:proofErr w:type="spellStart"/>
      <w:r>
        <w:t>Правоимащите</w:t>
      </w:r>
      <w:proofErr w:type="spellEnd"/>
      <w:r>
        <w:t xml:space="preserve"> лица в предприятията на една от двете договарящи страни, които изпълняват работа на територията на другата страна, се </w:t>
      </w:r>
      <w:proofErr w:type="spellStart"/>
      <w:r>
        <w:t>ползуват</w:t>
      </w:r>
      <w:proofErr w:type="spellEnd"/>
      <w:r>
        <w:t xml:space="preserve"> от Закона за социалното осигуряване само за медицинско обслужване и внасят за това вноски в страната на работа.</w:t>
      </w:r>
    </w:p>
    <w:p w:rsidR="00364108" w:rsidRDefault="00364108" w:rsidP="00364108">
      <w:pPr>
        <w:pStyle w:val="NormalWeb"/>
      </w:pPr>
      <w:r>
        <w:t>Член 3</w:t>
      </w:r>
      <w:r>
        <w:br/>
      </w:r>
      <w:proofErr w:type="spellStart"/>
      <w:r>
        <w:t>Правоимащите</w:t>
      </w:r>
      <w:proofErr w:type="spellEnd"/>
      <w:r>
        <w:t xml:space="preserve"> лица, върху които се разпростира тази спогодба, или </w:t>
      </w:r>
      <w:proofErr w:type="spellStart"/>
      <w:r>
        <w:t>правоимащите</w:t>
      </w:r>
      <w:proofErr w:type="spellEnd"/>
      <w:r>
        <w:t xml:space="preserve"> членове на семействата могат да предявяват искания и търсят правата си относно всички видове осигуровки и пенсии, които се покриват от вноските им за социално осигуряване, внасяни в изпращащата страна, и нямат право да предявяват искания към страната, в която работят.</w:t>
      </w:r>
    </w:p>
    <w:p w:rsidR="00364108" w:rsidRDefault="00364108" w:rsidP="00364108">
      <w:pPr>
        <w:pStyle w:val="NormalWeb"/>
      </w:pPr>
      <w:r>
        <w:t>Член 4</w:t>
      </w:r>
      <w:r>
        <w:br/>
        <w:t xml:space="preserve">Пенсиите, отпуснати на </w:t>
      </w:r>
      <w:proofErr w:type="spellStart"/>
      <w:r>
        <w:t>правоимащите</w:t>
      </w:r>
      <w:proofErr w:type="spellEnd"/>
      <w:r>
        <w:t xml:space="preserve"> лица или на техните наследници преди влизането в сила на тази спогодба, се изплащат в съответствие със законодателството на страната, в която е била отпусната пенсията.</w:t>
      </w:r>
    </w:p>
    <w:p w:rsidR="00364108" w:rsidRDefault="00364108" w:rsidP="00364108">
      <w:pPr>
        <w:pStyle w:val="NormalWeb"/>
      </w:pPr>
      <w:r>
        <w:t>Член 5</w:t>
      </w:r>
      <w:r>
        <w:br/>
        <w:t xml:space="preserve">Предприятията на една от договарящите страни, която изпълнява дейност на </w:t>
      </w:r>
      <w:r>
        <w:lastRenderedPageBreak/>
        <w:t xml:space="preserve">територията на другата договаряща страна, трябва да изплащат на </w:t>
      </w:r>
      <w:proofErr w:type="spellStart"/>
      <w:r>
        <w:t>правоимащите</w:t>
      </w:r>
      <w:proofErr w:type="spellEnd"/>
      <w:r>
        <w:t xml:space="preserve"> лица обезщетения за болест, трудови злополуки и майчинство предвид на това, че не съществуват осигурителни вноски, от които да се покриват краткосрочните обезщетения.</w:t>
      </w:r>
    </w:p>
    <w:p w:rsidR="00364108" w:rsidRDefault="00364108" w:rsidP="00364108">
      <w:pPr>
        <w:pStyle w:val="NormalWeb"/>
      </w:pPr>
      <w:r>
        <w:t>Член 6</w:t>
      </w:r>
      <w:r>
        <w:br/>
        <w:t xml:space="preserve">Предприятията на една от договарящите страни, изпълняващи работа на територията на другата договаряща страна, съставят списъци на </w:t>
      </w:r>
      <w:proofErr w:type="spellStart"/>
      <w:r>
        <w:t>правоимащите</w:t>
      </w:r>
      <w:proofErr w:type="spellEnd"/>
      <w:r>
        <w:t xml:space="preserve"> лица за компетентния орган по социалното осигуряване на страната, в която тези лица работят. Списъците съдържат имената и подписите на </w:t>
      </w:r>
      <w:proofErr w:type="spellStart"/>
      <w:r>
        <w:t>правоимащите</w:t>
      </w:r>
      <w:proofErr w:type="spellEnd"/>
      <w:r>
        <w:t xml:space="preserve"> лица.</w:t>
      </w:r>
    </w:p>
    <w:p w:rsidR="00364108" w:rsidRDefault="00364108" w:rsidP="00364108">
      <w:pPr>
        <w:pStyle w:val="NormalWeb"/>
      </w:pPr>
      <w:r>
        <w:t>Член 7</w:t>
      </w:r>
      <w:r>
        <w:br/>
        <w:t>Тази спогодба не се разпростира върху:</w:t>
      </w:r>
      <w:r>
        <w:br/>
        <w:t>а) членовете на международни представителства, дипломатически и консулски мисии и военни представителства;</w:t>
      </w:r>
      <w:r>
        <w:br/>
        <w:t>б) членовете на екипажи на кораби и самолети освен на тези на вътрешното корабоплаване и авиолинии.</w:t>
      </w:r>
    </w:p>
    <w:p w:rsidR="00364108" w:rsidRDefault="00364108" w:rsidP="00364108">
      <w:pPr>
        <w:pStyle w:val="NormalWeb"/>
      </w:pPr>
      <w:r>
        <w:t>Член 8</w:t>
      </w:r>
      <w:r>
        <w:br/>
        <w:t xml:space="preserve">Предприятията, в които работят </w:t>
      </w:r>
      <w:proofErr w:type="spellStart"/>
      <w:r>
        <w:t>правоимащите</w:t>
      </w:r>
      <w:proofErr w:type="spellEnd"/>
      <w:r>
        <w:t xml:space="preserve"> лица, ще си сътрудничат в областта на социалното осигуряване, охраната на труда и професионалните заболявания със съответните специализирани институти в страната на работа.</w:t>
      </w:r>
    </w:p>
    <w:p w:rsidR="00364108" w:rsidRDefault="00364108" w:rsidP="00364108">
      <w:pPr>
        <w:pStyle w:val="NormalWeb"/>
      </w:pPr>
      <w:r>
        <w:t>Член 9</w:t>
      </w:r>
      <w:r>
        <w:br/>
        <w:t>Компетентните органи по социалното осигуряване на всяка една от договарящите страни за изпълнение на тази спогодба се задължават да направят следното:</w:t>
      </w:r>
      <w:r>
        <w:br/>
        <w:t>а) да предприемат необходимите мерки за нейното прилагане;</w:t>
      </w:r>
      <w:r>
        <w:br/>
        <w:t>б) да влизат в преки контакти за вземане на изпълнителни мерки;</w:t>
      </w:r>
      <w:r>
        <w:br/>
        <w:t>в) да си оказват безвъзмездно административна помощ;</w:t>
      </w:r>
      <w:r>
        <w:br/>
        <w:t>г) да си разменят закони и разпоредби, засягащи социалното осигуряване и измененията, които се правят в тях;</w:t>
      </w:r>
      <w:r>
        <w:br/>
        <w:t>д) да си сътрудничат и обменят опит в областта на техническата безопасност, професионалните заболявания, трудовите злополуки и възстановяване на трудоспособността.</w:t>
      </w:r>
    </w:p>
    <w:p w:rsidR="00364108" w:rsidRDefault="00364108" w:rsidP="00364108">
      <w:pPr>
        <w:pStyle w:val="NormalWeb"/>
      </w:pPr>
      <w:r>
        <w:t>Член 10</w:t>
      </w:r>
      <w:r>
        <w:br/>
        <w:t>Всяко противоречие по прилагането или тълкуването на тази спогодба ще се решава от комисия, сформирана от централните органи на двете страни.</w:t>
      </w:r>
    </w:p>
    <w:p w:rsidR="00364108" w:rsidRDefault="00364108" w:rsidP="00364108">
      <w:pPr>
        <w:pStyle w:val="NormalWeb"/>
      </w:pPr>
      <w:r>
        <w:t>Член 11</w:t>
      </w:r>
      <w:r>
        <w:br/>
        <w:t>1. Тази спогодба ще бъде ратифицирана в съответствие със законодателството на всяка една от договарящите страни.</w:t>
      </w:r>
      <w:r>
        <w:br/>
        <w:t>2. Спогодбата влиза в сила за срок от три години, започващ от първия ден на следващия месец от датата, на която се разменят ратификационните документи.</w:t>
      </w:r>
      <w:r>
        <w:br/>
        <w:t>3. Срокът на валидност се продължава автоматически за една година, освен в случаите, когато едната от договарящите страни пожелае да я денонсира. Това ще става писмено най-малко 3 месеца преди изтичането на срока на валидността й.</w:t>
      </w:r>
    </w:p>
    <w:p w:rsidR="00364108" w:rsidRDefault="00364108" w:rsidP="00364108">
      <w:pPr>
        <w:pStyle w:val="NormalWeb"/>
      </w:pPr>
      <w:r>
        <w:lastRenderedPageBreak/>
        <w:t>Член 12</w:t>
      </w:r>
      <w:r>
        <w:br/>
        <w:t>Тази спогодба е съставена в гр. Триполи на 8 март 1984 г. в два екземпляра, всеки от които на български и арабски език, като и двата текста имат еднаква сила.</w:t>
      </w:r>
    </w:p>
    <w:p w:rsidR="00364108" w:rsidRDefault="00364108" w:rsidP="00364108">
      <w:pPr>
        <w:pStyle w:val="HTMLPreformatted"/>
      </w:pPr>
    </w:p>
    <w:p w:rsidR="00364108" w:rsidRDefault="00364108" w:rsidP="00364108">
      <w:pPr>
        <w:pStyle w:val="HTMLPreformatted"/>
      </w:pPr>
      <w:r>
        <w:t>За Народна република                    За Социалистическа</w:t>
      </w:r>
    </w:p>
    <w:p w:rsidR="00364108" w:rsidRDefault="00364108" w:rsidP="00364108">
      <w:pPr>
        <w:pStyle w:val="HTMLPreformatted"/>
      </w:pPr>
      <w:r>
        <w:t>България:                               народна либийска арабска</w:t>
      </w:r>
    </w:p>
    <w:p w:rsidR="00364108" w:rsidRDefault="00364108" w:rsidP="00364108">
      <w:pPr>
        <w:pStyle w:val="HTMLPreformatted"/>
      </w:pPr>
      <w:r>
        <w:t xml:space="preserve">Петър Младенов,                         </w:t>
      </w:r>
      <w:proofErr w:type="spellStart"/>
      <w:r>
        <w:t>джамахирия</w:t>
      </w:r>
      <w:proofErr w:type="spellEnd"/>
      <w:r>
        <w:t>:</w:t>
      </w:r>
    </w:p>
    <w:p w:rsidR="00364108" w:rsidRDefault="00364108" w:rsidP="00364108">
      <w:pPr>
        <w:pStyle w:val="HTMLPreformatted"/>
      </w:pPr>
      <w:r>
        <w:t xml:space="preserve">министър на външните                    </w:t>
      </w:r>
      <w:proofErr w:type="spellStart"/>
      <w:r>
        <w:t>Абдул</w:t>
      </w:r>
      <w:proofErr w:type="spellEnd"/>
      <w:r>
        <w:t xml:space="preserve"> Ати ал </w:t>
      </w:r>
      <w:proofErr w:type="spellStart"/>
      <w:r>
        <w:t>Обейди</w:t>
      </w:r>
      <w:proofErr w:type="spellEnd"/>
      <w:r>
        <w:t>,</w:t>
      </w:r>
    </w:p>
    <w:p w:rsidR="00364108" w:rsidRDefault="00364108" w:rsidP="00364108">
      <w:pPr>
        <w:pStyle w:val="HTMLPreformatted"/>
      </w:pPr>
      <w:r>
        <w:t>работи на НР България                   секретар на Народния комитет</w:t>
      </w:r>
    </w:p>
    <w:p w:rsidR="00364108" w:rsidRDefault="00364108" w:rsidP="00364108">
      <w:pPr>
        <w:pStyle w:val="HTMLPreformatted"/>
      </w:pPr>
      <w:r>
        <w:t>на Народното бюро за</w:t>
      </w:r>
    </w:p>
    <w:p w:rsidR="00364108" w:rsidRDefault="00364108" w:rsidP="00364108">
      <w:pPr>
        <w:pStyle w:val="HTMLPreformatted"/>
      </w:pPr>
      <w:r>
        <w:t>международни връзки на</w:t>
      </w:r>
    </w:p>
    <w:p w:rsidR="00364108" w:rsidRDefault="00364108" w:rsidP="00364108">
      <w:pPr>
        <w:pStyle w:val="HTMLPreformatted"/>
      </w:pPr>
      <w:r>
        <w:t>Социалистическа народна</w:t>
      </w:r>
    </w:p>
    <w:p w:rsidR="00364108" w:rsidRDefault="00364108" w:rsidP="00364108">
      <w:pPr>
        <w:pStyle w:val="HTMLPreformatted"/>
      </w:pPr>
      <w:r>
        <w:t xml:space="preserve">либийска арабска </w:t>
      </w:r>
      <w:proofErr w:type="spellStart"/>
      <w:r>
        <w:t>джамахирия</w:t>
      </w:r>
      <w:proofErr w:type="spellEnd"/>
    </w:p>
    <w:p w:rsidR="00741FA9" w:rsidRDefault="00364108">
      <w:bookmarkStart w:id="0" w:name="_GoBack"/>
      <w:bookmarkEnd w:id="0"/>
    </w:p>
    <w:sectPr w:rsidR="0074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B0"/>
    <w:rsid w:val="00364108"/>
    <w:rsid w:val="003E61AA"/>
    <w:rsid w:val="00DC4EB0"/>
    <w:rsid w:val="00E9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1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4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4108"/>
    <w:rPr>
      <w:rFonts w:ascii="Courier New" w:eastAsiaTheme="minorEastAsia" w:hAnsi="Courier New" w:cs="Courier New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1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4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4108"/>
    <w:rPr>
      <w:rFonts w:ascii="Courier New" w:eastAsiaTheme="minorEastAsia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Aleksiev</dc:creator>
  <cp:keywords/>
  <dc:description/>
  <cp:lastModifiedBy>Nikolay Aleksiev</cp:lastModifiedBy>
  <cp:revision>2</cp:revision>
  <dcterms:created xsi:type="dcterms:W3CDTF">2015-05-21T10:52:00Z</dcterms:created>
  <dcterms:modified xsi:type="dcterms:W3CDTF">2015-05-21T10:52:00Z</dcterms:modified>
</cp:coreProperties>
</file>